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"0</w:t>
      </w:r>
      <w:r w:rsidR="006763C9">
        <w:rPr>
          <w:i/>
        </w:rPr>
        <w:t>6</w:t>
      </w:r>
      <w:r w:rsidRPr="0097172B">
        <w:rPr>
          <w:i/>
        </w:rPr>
        <w:t>" ноября 2025 г. № Закуп-69</w:t>
      </w:r>
      <w:r w:rsidR="006763C9">
        <w:rPr>
          <w:i/>
        </w:rPr>
        <w:t>95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54606C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8853D6" w:rsidRDefault="006763C9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763C9">
              <w:rPr>
                <w:bCs/>
                <w:sz w:val="24"/>
                <w:szCs w:val="24"/>
              </w:rPr>
              <w:t>оставк</w:t>
            </w:r>
            <w:r>
              <w:rPr>
                <w:bCs/>
                <w:sz w:val="24"/>
                <w:szCs w:val="24"/>
              </w:rPr>
              <w:t>а</w:t>
            </w:r>
            <w:r w:rsidRPr="006763C9">
              <w:rPr>
                <w:bCs/>
                <w:sz w:val="24"/>
                <w:szCs w:val="24"/>
              </w:rPr>
              <w:t xml:space="preserve"> программных средств защиты информации для АО «</w:t>
            </w:r>
            <w:proofErr w:type="spellStart"/>
            <w:r w:rsidRPr="006763C9">
              <w:rPr>
                <w:bCs/>
                <w:sz w:val="24"/>
                <w:szCs w:val="24"/>
              </w:rPr>
              <w:t>Саханефтегазсбыт</w:t>
            </w:r>
            <w:proofErr w:type="spellEnd"/>
            <w:r w:rsidRPr="006763C9">
              <w:rPr>
                <w:bCs/>
                <w:sz w:val="24"/>
                <w:szCs w:val="24"/>
              </w:rPr>
              <w:t xml:space="preserve">» в 2026 </w:t>
            </w:r>
            <w:proofErr w:type="spellStart"/>
            <w:r w:rsidRPr="006763C9">
              <w:rPr>
                <w:bCs/>
                <w:sz w:val="24"/>
                <w:szCs w:val="24"/>
              </w:rPr>
              <w:t>г.</w:t>
            </w:r>
            <w:r w:rsidR="008853D6" w:rsidRPr="008853D6">
              <w:rPr>
                <w:bCs/>
                <w:sz w:val="24"/>
                <w:szCs w:val="24"/>
              </w:rPr>
              <w:t>Закупка</w:t>
            </w:r>
            <w:proofErr w:type="spellEnd"/>
            <w:r w:rsidR="008853D6" w:rsidRPr="008853D6">
              <w:rPr>
                <w:bCs/>
                <w:sz w:val="24"/>
                <w:szCs w:val="24"/>
              </w:rPr>
              <w:t xml:space="preserve"> осуществляется по </w:t>
            </w:r>
            <w:r w:rsidR="008853D6"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p w:rsidR="006763C9" w:rsidRPr="002C0CB5" w:rsidRDefault="006763C9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6763C9" w:rsidRPr="002C0CB5" w:rsidRDefault="006763C9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tbl>
            <w:tblPr>
              <w:tblStyle w:val="TableNormal11"/>
              <w:tblW w:w="1063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1134"/>
              <w:gridCol w:w="1843"/>
              <w:gridCol w:w="1276"/>
              <w:gridCol w:w="1984"/>
              <w:gridCol w:w="1134"/>
              <w:gridCol w:w="1276"/>
              <w:gridCol w:w="1559"/>
            </w:tblGrid>
            <w:tr w:rsidR="006763C9" w:rsidRPr="000142D8" w:rsidTr="006763C9">
              <w:trPr>
                <w:trHeight w:val="511"/>
                <w:jc w:val="center"/>
              </w:trPr>
              <w:tc>
                <w:tcPr>
                  <w:tcW w:w="426" w:type="dxa"/>
                  <w:vMerge w:val="restart"/>
                  <w:tcBorders>
                    <w:left w:val="single" w:sz="12" w:space="0" w:color="auto"/>
                  </w:tcBorders>
                </w:tcPr>
                <w:p w:rsidR="006763C9" w:rsidRPr="006763C9" w:rsidRDefault="006763C9" w:rsidP="006763C9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24"/>
                      <w:lang w:val="ru-RU"/>
                    </w:rPr>
                  </w:pPr>
                  <w:r w:rsidRPr="006763C9">
                    <w:rPr>
                      <w:rFonts w:eastAsia="Cambria"/>
                      <w:b/>
                      <w:spacing w:val="-1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2977" w:type="dxa"/>
                  <w:gridSpan w:val="2"/>
                  <w:vMerge w:val="restart"/>
                </w:tcPr>
                <w:p w:rsidR="006763C9" w:rsidRPr="006763C9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6763C9">
                    <w:rPr>
                      <w:rFonts w:eastAsia="Cambria"/>
                      <w:b/>
                      <w:sz w:val="24"/>
                      <w:lang w:val="ru-RU"/>
                    </w:rPr>
                    <w:t>Наим</w:t>
                  </w:r>
                  <w:r>
                    <w:rPr>
                      <w:rFonts w:eastAsia="Cambria"/>
                      <w:b/>
                      <w:sz w:val="24"/>
                      <w:lang w:val="ru-RU"/>
                    </w:rPr>
                    <w:t>е</w:t>
                  </w:r>
                  <w:r w:rsidRPr="006763C9">
                    <w:rPr>
                      <w:rFonts w:eastAsia="Cambria"/>
                      <w:b/>
                      <w:sz w:val="24"/>
                      <w:lang w:val="ru-RU"/>
                    </w:rPr>
                    <w:t>нование</w:t>
                  </w:r>
                </w:p>
              </w:tc>
              <w:tc>
                <w:tcPr>
                  <w:tcW w:w="3260" w:type="dxa"/>
                  <w:gridSpan w:val="2"/>
                </w:tcPr>
                <w:p w:rsidR="006763C9" w:rsidRPr="006B04FA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6B04FA">
                    <w:rPr>
                      <w:rFonts w:eastAsia="Cambria"/>
                      <w:b/>
                      <w:sz w:val="24"/>
                      <w:lang w:val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134" w:type="dxa"/>
                  <w:vMerge w:val="restart"/>
                </w:tcPr>
                <w:p w:rsidR="006763C9" w:rsidRPr="00924AD5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proofErr w:type="spellStart"/>
                  <w:r w:rsidRPr="000142D8">
                    <w:rPr>
                      <w:rFonts w:eastAsia="Cambria"/>
                      <w:b/>
                      <w:sz w:val="24"/>
                    </w:rPr>
                    <w:t>Кол-во</w:t>
                  </w:r>
                  <w:proofErr w:type="spellEnd"/>
                  <w:r>
                    <w:rPr>
                      <w:rFonts w:eastAsia="Cambria"/>
                      <w:b/>
                      <w:sz w:val="24"/>
                      <w:lang w:val="ru-RU"/>
                    </w:rPr>
                    <w:t xml:space="preserve">, ед. изм. </w:t>
                  </w:r>
                </w:p>
              </w:tc>
              <w:tc>
                <w:tcPr>
                  <w:tcW w:w="1276" w:type="dxa"/>
                  <w:vMerge w:val="restart"/>
                </w:tcPr>
                <w:p w:rsidR="006763C9" w:rsidRPr="000142D8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>
                    <w:rPr>
                      <w:rFonts w:eastAsia="Cambria"/>
                      <w:b/>
                      <w:sz w:val="24"/>
                      <w:lang w:val="ru-RU"/>
                    </w:rPr>
                    <w:t xml:space="preserve">цена </w:t>
                  </w: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за единицу</w:t>
                  </w:r>
                </w:p>
                <w:p w:rsidR="006763C9" w:rsidRPr="000142D8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товара</w:t>
                  </w:r>
                </w:p>
                <w:p w:rsidR="006763C9" w:rsidRPr="000142D8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lastRenderedPageBreak/>
                    <w:t xml:space="preserve"> без НДС (руб.)</w:t>
                  </w:r>
                </w:p>
              </w:tc>
              <w:tc>
                <w:tcPr>
                  <w:tcW w:w="1559" w:type="dxa"/>
                  <w:vMerge w:val="restart"/>
                </w:tcPr>
                <w:p w:rsidR="006763C9" w:rsidRPr="000142D8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lastRenderedPageBreak/>
                    <w:t xml:space="preserve">Начальная максимальная цена, без НДС </w:t>
                  </w: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lastRenderedPageBreak/>
                    <w:t>(руб.)</w:t>
                  </w:r>
                </w:p>
              </w:tc>
            </w:tr>
            <w:tr w:rsidR="006763C9" w:rsidRPr="000142D8" w:rsidTr="006763C9">
              <w:trPr>
                <w:trHeight w:val="1064"/>
                <w:jc w:val="center"/>
              </w:trPr>
              <w:tc>
                <w:tcPr>
                  <w:tcW w:w="426" w:type="dxa"/>
                  <w:vMerge/>
                  <w:tcBorders>
                    <w:left w:val="single" w:sz="12" w:space="0" w:color="auto"/>
                  </w:tcBorders>
                </w:tcPr>
                <w:p w:rsidR="006763C9" w:rsidRPr="00924AD5" w:rsidRDefault="006763C9" w:rsidP="006763C9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gridSpan w:val="2"/>
                  <w:vMerge/>
                </w:tcPr>
                <w:p w:rsidR="006763C9" w:rsidRPr="00924AD5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6763C9" w:rsidRPr="001A5883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0"/>
                      <w:szCs w:val="20"/>
                    </w:rPr>
                  </w:pPr>
                  <w:r w:rsidRPr="001A5883">
                    <w:rPr>
                      <w:rFonts w:eastAsia="Cambria"/>
                      <w:b/>
                      <w:sz w:val="20"/>
                      <w:szCs w:val="20"/>
                    </w:rPr>
                    <w:t>ОКПД2</w:t>
                  </w:r>
                </w:p>
              </w:tc>
              <w:tc>
                <w:tcPr>
                  <w:tcW w:w="1984" w:type="dxa"/>
                </w:tcPr>
                <w:p w:rsidR="006763C9" w:rsidRPr="006B04FA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3B197C">
                    <w:rPr>
                      <w:b/>
                      <w:sz w:val="20"/>
                      <w:szCs w:val="20"/>
                      <w:lang w:val="ru-RU" w:eastAsia="ru-RU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134" w:type="dxa"/>
                  <w:vMerge/>
                </w:tcPr>
                <w:p w:rsidR="006763C9" w:rsidRPr="006B04FA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6763C9" w:rsidRPr="006B04FA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6763C9" w:rsidRPr="006B04FA" w:rsidRDefault="006763C9" w:rsidP="006763C9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</w:tr>
            <w:tr w:rsidR="006763C9" w:rsidRPr="000142D8" w:rsidTr="006763C9">
              <w:trPr>
                <w:trHeight w:val="511"/>
                <w:jc w:val="center"/>
              </w:trPr>
              <w:tc>
                <w:tcPr>
                  <w:tcW w:w="426" w:type="dxa"/>
                  <w:tcBorders>
                    <w:left w:val="single" w:sz="12" w:space="0" w:color="auto"/>
                  </w:tcBorders>
                </w:tcPr>
                <w:p w:rsidR="006763C9" w:rsidRPr="000142D8" w:rsidRDefault="006763C9" w:rsidP="006763C9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977" w:type="dxa"/>
                  <w:gridSpan w:val="2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Лицензия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на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программное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обеспечение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Enterprise Edition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со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следующими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компонентами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</w:t>
                  </w:r>
                  <w:r w:rsidRPr="006763C9">
                    <w:rPr>
                      <w:rStyle w:val="12"/>
                      <w:sz w:val="20"/>
                      <w:szCs w:val="20"/>
                    </w:rPr>
                    <w:t>orporate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Web Monitor,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Corporate Email Monitor,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комплект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User Actions Monitor",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Base,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OCR Module,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Linguistic Analysis,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Fingerprints,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Templates Analyzer,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WhatsApp Monitor,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Telegram Monitor,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Device Monitor,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for HTTPS,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база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данных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content filtering base (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Нефть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газ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Traffic Monitor additional language (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Якутский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Activity Monitor Base,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Data Access Tracker,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Vision,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Data Discovery, </w:t>
                  </w:r>
                  <w:proofErr w:type="spellStart"/>
                  <w:r w:rsidRPr="006763C9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Prediction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для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100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учётных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записей</w:t>
                  </w:r>
                  <w:proofErr w:type="spellEnd"/>
                  <w:r w:rsidRPr="006763C9">
                    <w:rPr>
                      <w:rStyle w:val="1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Срок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использования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лицензии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1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год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  <w:vAlign w:val="center"/>
                </w:tcPr>
                <w:p w:rsidR="006763C9" w:rsidRDefault="006763C9" w:rsidP="006763C9">
                  <w:pPr>
                    <w:spacing w:after="200"/>
                    <w:jc w:val="center"/>
                    <w:rPr>
                      <w:rFonts w:eastAsia="Calibri"/>
                      <w:strike/>
                      <w:color w:val="333333"/>
                      <w:shd w:val="clear" w:color="auto" w:fill="FFFFFF"/>
                      <w:lang w:val="ru-RU"/>
                    </w:rPr>
                  </w:pPr>
                </w:p>
                <w:p w:rsidR="006763C9" w:rsidRPr="00A82DF4" w:rsidRDefault="006763C9" w:rsidP="006763C9">
                  <w:pPr>
                    <w:spacing w:after="200"/>
                    <w:jc w:val="center"/>
                    <w:rPr>
                      <w:rFonts w:eastAsia="Calibri"/>
                      <w:lang w:val="ru-RU"/>
                    </w:rPr>
                  </w:pPr>
                  <w:r>
                    <w:rPr>
                      <w:rFonts w:eastAsia="Calibri"/>
                      <w:color w:val="333333"/>
                      <w:shd w:val="clear" w:color="auto" w:fill="FFFFFF"/>
                      <w:lang w:val="ru-RU"/>
                    </w:rPr>
                    <w:t>62.01.29.000</w:t>
                  </w:r>
                </w:p>
              </w:tc>
              <w:tc>
                <w:tcPr>
                  <w:tcW w:w="1984" w:type="dxa"/>
                  <w:vAlign w:val="center"/>
                </w:tcPr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Pr="00A82DF4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  <w:r w:rsidRPr="00A82DF4">
                    <w:rPr>
                      <w:rFonts w:eastAsia="Calibri"/>
                      <w:lang w:val="ru-RU"/>
                    </w:rPr>
                    <w:t>запрет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</w:rPr>
                  </w:pPr>
                  <w:r w:rsidRPr="001A5883">
                    <w:rPr>
                      <w:rFonts w:eastAsia="Calibri"/>
                      <w:lang w:val="ru-RU"/>
                    </w:rPr>
                    <w:t>1</w:t>
                  </w:r>
                  <w:r w:rsidRPr="001A5883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1A5883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  <w:r w:rsidRPr="001A5883">
                    <w:rPr>
                      <w:rFonts w:eastAsia="Calibri"/>
                      <w:lang w:val="ru-RU"/>
                    </w:rPr>
                    <w:t>2 990 000,00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  <w:r w:rsidRPr="001A5883">
                    <w:rPr>
                      <w:rFonts w:eastAsia="Calibri"/>
                      <w:lang w:val="ru-RU"/>
                    </w:rPr>
                    <w:t>2 990 000,00</w:t>
                  </w:r>
                </w:p>
              </w:tc>
            </w:tr>
            <w:tr w:rsidR="006763C9" w:rsidRPr="000142D8" w:rsidTr="00D81F5C">
              <w:trPr>
                <w:trHeight w:val="510"/>
                <w:jc w:val="center"/>
              </w:trPr>
              <w:tc>
                <w:tcPr>
                  <w:tcW w:w="426" w:type="dxa"/>
                </w:tcPr>
                <w:p w:rsidR="006763C9" w:rsidRPr="000142D8" w:rsidRDefault="006763C9" w:rsidP="006763C9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2977" w:type="dxa"/>
                  <w:gridSpan w:val="2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Сертификат на техническую поддержку программного обеспечения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Traffic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Monitor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Enterprise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Edition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для 100 учётных записей.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Срок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действия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сертификата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1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год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  <w:vAlign w:val="center"/>
                </w:tcPr>
                <w:p w:rsidR="006763C9" w:rsidRDefault="006763C9" w:rsidP="006763C9">
                  <w:pPr>
                    <w:spacing w:after="200"/>
                    <w:jc w:val="center"/>
                    <w:rPr>
                      <w:rFonts w:eastAsia="Calibri"/>
                      <w:color w:val="333333"/>
                      <w:shd w:val="clear" w:color="auto" w:fill="FFFFFF"/>
                      <w:lang w:val="ru-RU"/>
                    </w:rPr>
                  </w:pPr>
                </w:p>
                <w:p w:rsidR="006763C9" w:rsidRDefault="006763C9" w:rsidP="006763C9">
                  <w:pPr>
                    <w:spacing w:after="200"/>
                    <w:rPr>
                      <w:rFonts w:eastAsia="Calibri"/>
                      <w:color w:val="333333"/>
                      <w:shd w:val="clear" w:color="auto" w:fill="FFFFFF"/>
                      <w:lang w:val="ru-RU"/>
                    </w:rPr>
                  </w:pPr>
                  <w:r>
                    <w:rPr>
                      <w:rFonts w:eastAsia="Calibri"/>
                      <w:color w:val="333333"/>
                      <w:shd w:val="clear" w:color="auto" w:fill="FFFFFF"/>
                      <w:lang w:val="ru-RU"/>
                    </w:rPr>
                    <w:t>62.01.29.000</w:t>
                  </w:r>
                </w:p>
                <w:p w:rsidR="006763C9" w:rsidRDefault="006763C9" w:rsidP="006763C9">
                  <w:pPr>
                    <w:spacing w:after="200"/>
                    <w:jc w:val="center"/>
                    <w:rPr>
                      <w:rFonts w:eastAsia="Calibri"/>
                      <w:color w:val="333333"/>
                      <w:shd w:val="clear" w:color="auto" w:fill="FFFFFF"/>
                      <w:lang w:val="ru-RU"/>
                    </w:rPr>
                  </w:pPr>
                </w:p>
                <w:p w:rsidR="006763C9" w:rsidRPr="001A5883" w:rsidRDefault="006763C9" w:rsidP="006763C9">
                  <w:pPr>
                    <w:spacing w:after="200"/>
                    <w:rPr>
                      <w:rFonts w:eastAsia="Calibri"/>
                      <w:spacing w:val="-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pacing w:val="-2"/>
                      <w:lang w:val="ru-RU"/>
                    </w:rPr>
                  </w:pPr>
                  <w:r>
                    <w:rPr>
                      <w:rFonts w:eastAsia="Calibri"/>
                      <w:spacing w:val="-2"/>
                      <w:lang w:val="ru-RU"/>
                    </w:rPr>
                    <w:t>запрет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pacing w:val="-2"/>
                    </w:rPr>
                  </w:pPr>
                  <w:r w:rsidRPr="001A5883">
                    <w:rPr>
                      <w:rFonts w:eastAsia="Calibri"/>
                      <w:spacing w:val="-2"/>
                      <w:lang w:val="ru-RU"/>
                    </w:rPr>
                    <w:t>1</w:t>
                  </w:r>
                  <w:r w:rsidRPr="001A5883">
                    <w:rPr>
                      <w:rFonts w:eastAsia="Calibri"/>
                      <w:spacing w:val="-2"/>
                    </w:rPr>
                    <w:t xml:space="preserve"> </w:t>
                  </w:r>
                  <w:proofErr w:type="spellStart"/>
                  <w:r w:rsidRPr="001A5883">
                    <w:rPr>
                      <w:rFonts w:eastAsia="Calibri"/>
                      <w:spacing w:val="-2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pacing w:val="-2"/>
                    </w:rPr>
                  </w:pPr>
                  <w:r w:rsidRPr="001A5883">
                    <w:rPr>
                      <w:rStyle w:val="12"/>
                    </w:rPr>
                    <w:t>34 171,43</w:t>
                  </w:r>
                </w:p>
              </w:tc>
              <w:tc>
                <w:tcPr>
                  <w:tcW w:w="1559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pacing w:val="-2"/>
                    </w:rPr>
                  </w:pPr>
                  <w:r w:rsidRPr="001A5883">
                    <w:rPr>
                      <w:rStyle w:val="12"/>
                    </w:rPr>
                    <w:t>34 171,43</w:t>
                  </w:r>
                </w:p>
              </w:tc>
            </w:tr>
            <w:tr w:rsidR="006763C9" w:rsidRPr="000142D8" w:rsidTr="00D81F5C">
              <w:trPr>
                <w:trHeight w:val="299"/>
                <w:jc w:val="center"/>
              </w:trPr>
              <w:tc>
                <w:tcPr>
                  <w:tcW w:w="426" w:type="dxa"/>
                </w:tcPr>
                <w:p w:rsidR="006763C9" w:rsidRPr="000142D8" w:rsidRDefault="006763C9" w:rsidP="006763C9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2977" w:type="dxa"/>
                  <w:gridSpan w:val="2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Лицензия на пользование обновлениями программного 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lastRenderedPageBreak/>
                    <w:t xml:space="preserve">обеспечения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InfoWatch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Traffic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Monitor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Enterprise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A5883">
                    <w:rPr>
                      <w:rStyle w:val="12"/>
                      <w:sz w:val="20"/>
                      <w:szCs w:val="20"/>
                    </w:rPr>
                    <w:t>Edition</w:t>
                  </w:r>
                  <w:r w:rsidRPr="001A5883">
                    <w:rPr>
                      <w:rStyle w:val="12"/>
                      <w:sz w:val="20"/>
                      <w:szCs w:val="20"/>
                      <w:lang w:val="ru-RU"/>
                    </w:rPr>
                    <w:t xml:space="preserve"> для 100 учётных записей.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Срок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действия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сертификата</w:t>
                  </w:r>
                  <w:proofErr w:type="spellEnd"/>
                  <w:r w:rsidRPr="001A5883">
                    <w:rPr>
                      <w:rStyle w:val="12"/>
                      <w:sz w:val="20"/>
                      <w:szCs w:val="20"/>
                    </w:rPr>
                    <w:t xml:space="preserve"> 1 </w:t>
                  </w:r>
                  <w:proofErr w:type="spellStart"/>
                  <w:r w:rsidRPr="001A5883">
                    <w:rPr>
                      <w:rStyle w:val="12"/>
                      <w:sz w:val="20"/>
                      <w:szCs w:val="20"/>
                    </w:rPr>
                    <w:t>год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763C9" w:rsidRPr="00A82DF4" w:rsidRDefault="006763C9" w:rsidP="006763C9">
                  <w:pPr>
                    <w:spacing w:after="200"/>
                    <w:rPr>
                      <w:rFonts w:eastAsia="Calibri"/>
                    </w:rPr>
                  </w:pPr>
                  <w:r>
                    <w:rPr>
                      <w:rFonts w:eastAsia="Calibri"/>
                      <w:color w:val="333333"/>
                      <w:shd w:val="clear" w:color="auto" w:fill="FFFFFF"/>
                      <w:lang w:val="ru-RU"/>
                    </w:rPr>
                    <w:lastRenderedPageBreak/>
                    <w:t>62.01.29.000</w:t>
                  </w:r>
                </w:p>
              </w:tc>
              <w:tc>
                <w:tcPr>
                  <w:tcW w:w="1984" w:type="dxa"/>
                  <w:vAlign w:val="center"/>
                </w:tcPr>
                <w:p w:rsidR="006763C9" w:rsidRPr="00A82DF4" w:rsidRDefault="006763C9" w:rsidP="006763C9">
                  <w:pPr>
                    <w:jc w:val="center"/>
                    <w:rPr>
                      <w:rFonts w:eastAsia="Calibri"/>
                      <w:lang w:val="ru-RU"/>
                    </w:rPr>
                  </w:pPr>
                  <w:r w:rsidRPr="00A82DF4">
                    <w:rPr>
                      <w:rFonts w:eastAsia="Calibri"/>
                      <w:lang w:val="ru-RU"/>
                    </w:rPr>
                    <w:t>запрет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</w:rPr>
                  </w:pPr>
                  <w:r w:rsidRPr="001A5883">
                    <w:rPr>
                      <w:rFonts w:eastAsia="Calibri"/>
                      <w:lang w:val="ru-RU"/>
                    </w:rPr>
                    <w:t>1</w:t>
                  </w:r>
                  <w:r w:rsidRPr="001A5883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1A5883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</w:rPr>
                  </w:pPr>
                  <w:r w:rsidRPr="001A5883">
                    <w:rPr>
                      <w:rStyle w:val="12"/>
                    </w:rPr>
                    <w:t>897 000,00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</w:rPr>
                  </w:pPr>
                  <w:r w:rsidRPr="001A5883">
                    <w:rPr>
                      <w:rStyle w:val="12"/>
                    </w:rPr>
                    <w:t>897 000,00</w:t>
                  </w:r>
                </w:p>
              </w:tc>
            </w:tr>
            <w:tr w:rsidR="006763C9" w:rsidRPr="000142D8" w:rsidTr="00D81F5C">
              <w:trPr>
                <w:trHeight w:val="114"/>
                <w:jc w:val="center"/>
              </w:trPr>
              <w:tc>
                <w:tcPr>
                  <w:tcW w:w="1560" w:type="dxa"/>
                  <w:gridSpan w:val="2"/>
                </w:tcPr>
                <w:p w:rsidR="006763C9" w:rsidRPr="000142D8" w:rsidRDefault="006763C9" w:rsidP="006763C9">
                  <w:pPr>
                    <w:jc w:val="right"/>
                    <w:rPr>
                      <w:rFonts w:eastAsia="Calibri"/>
                      <w:b/>
                      <w:spacing w:val="-6"/>
                      <w:sz w:val="24"/>
                    </w:rPr>
                  </w:pPr>
                </w:p>
              </w:tc>
              <w:tc>
                <w:tcPr>
                  <w:tcW w:w="6237" w:type="dxa"/>
                  <w:gridSpan w:val="4"/>
                </w:tcPr>
                <w:p w:rsidR="006763C9" w:rsidRPr="001A5883" w:rsidRDefault="006763C9" w:rsidP="006763C9">
                  <w:pPr>
                    <w:jc w:val="right"/>
                    <w:rPr>
                      <w:rFonts w:eastAsia="Calibri"/>
                      <w:b/>
                      <w:spacing w:val="-6"/>
                    </w:rPr>
                  </w:pPr>
                  <w:r w:rsidRPr="001A5883">
                    <w:rPr>
                      <w:rFonts w:eastAsia="Calibri"/>
                      <w:b/>
                      <w:spacing w:val="-6"/>
                    </w:rPr>
                    <w:t>ИТОГО:</w:t>
                  </w:r>
                </w:p>
              </w:tc>
              <w:tc>
                <w:tcPr>
                  <w:tcW w:w="1276" w:type="dxa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spacing w:val="-6"/>
                    </w:rPr>
                  </w:pPr>
                </w:p>
              </w:tc>
              <w:tc>
                <w:tcPr>
                  <w:tcW w:w="1559" w:type="dxa"/>
                </w:tcPr>
                <w:p w:rsidR="006763C9" w:rsidRPr="001A5883" w:rsidRDefault="006763C9" w:rsidP="006763C9">
                  <w:pPr>
                    <w:jc w:val="center"/>
                    <w:rPr>
                      <w:rFonts w:eastAsia="Calibri"/>
                      <w:b/>
                      <w:spacing w:val="-6"/>
                    </w:rPr>
                  </w:pPr>
                  <w:r w:rsidRPr="001A5883">
                    <w:rPr>
                      <w:rStyle w:val="12"/>
                      <w:b/>
                    </w:rPr>
                    <w:t>3 921 171,43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A83D73" w:rsidRPr="0064714D" w:rsidRDefault="00A83D73" w:rsidP="00CF5A3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CF5A3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6763C9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90F6F">
              <w:rPr>
                <w:rStyle w:val="12"/>
                <w:sz w:val="24"/>
                <w:szCs w:val="24"/>
              </w:rPr>
              <w:t xml:space="preserve">В период с </w:t>
            </w:r>
            <w:r>
              <w:rPr>
                <w:rStyle w:val="12"/>
                <w:sz w:val="24"/>
                <w:szCs w:val="24"/>
              </w:rPr>
              <w:t xml:space="preserve">01 января </w:t>
            </w:r>
            <w:r w:rsidRPr="00190F6F">
              <w:rPr>
                <w:rStyle w:val="12"/>
                <w:sz w:val="24"/>
                <w:szCs w:val="24"/>
              </w:rPr>
              <w:t xml:space="preserve">2026 г по </w:t>
            </w:r>
            <w:r>
              <w:rPr>
                <w:rStyle w:val="12"/>
                <w:sz w:val="24"/>
                <w:szCs w:val="24"/>
              </w:rPr>
              <w:t xml:space="preserve">01 февраля 2026 г., без </w:t>
            </w:r>
            <w:r w:rsidRPr="00082FF6">
              <w:rPr>
                <w:rStyle w:val="12"/>
                <w:sz w:val="24"/>
                <w:szCs w:val="24"/>
              </w:rPr>
              <w:t>возможности досрочного исполнения обязательства. Допускается увеличение срока предоставления права на использование программы для ЭВМ по взаимному соглашению Сторон.</w:t>
            </w:r>
          </w:p>
        </w:tc>
      </w:tr>
      <w:tr w:rsidR="00CF5A3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928" w:type="dxa"/>
            <w:shd w:val="clear" w:color="auto" w:fill="auto"/>
          </w:tcPr>
          <w:p w:rsidR="00CF5A33" w:rsidRPr="00CF5A33" w:rsidRDefault="006763C9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763C9">
              <w:rPr>
                <w:sz w:val="24"/>
                <w:szCs w:val="24"/>
              </w:rPr>
              <w:t xml:space="preserve">Поставка осуществляется на склад Заказчика, расположенный по адресу: 677000, Российская Федерация, Республика Саха (Якутия), г. Якутск, ул. </w:t>
            </w:r>
            <w:proofErr w:type="spellStart"/>
            <w:r w:rsidRPr="006763C9">
              <w:rPr>
                <w:sz w:val="24"/>
                <w:szCs w:val="24"/>
              </w:rPr>
              <w:t>Чиряева</w:t>
            </w:r>
            <w:proofErr w:type="spellEnd"/>
            <w:r w:rsidRPr="006763C9">
              <w:rPr>
                <w:sz w:val="24"/>
                <w:szCs w:val="24"/>
              </w:rPr>
              <w:t>, д.3, АО «</w:t>
            </w:r>
            <w:proofErr w:type="spellStart"/>
            <w:r w:rsidRPr="006763C9">
              <w:rPr>
                <w:sz w:val="24"/>
                <w:szCs w:val="24"/>
              </w:rPr>
              <w:t>Саханефтегазсбыт</w:t>
            </w:r>
            <w:proofErr w:type="spellEnd"/>
            <w:r w:rsidRPr="006763C9">
              <w:rPr>
                <w:sz w:val="24"/>
                <w:szCs w:val="24"/>
              </w:rPr>
              <w:t>».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04C4C" w:rsidRPr="00404C4C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</w:t>
            </w:r>
            <w:r w:rsidR="0054606C">
              <w:rPr>
                <w:rStyle w:val="a3"/>
                <w:b/>
                <w:color w:val="auto"/>
                <w:sz w:val="24"/>
                <w:szCs w:val="24"/>
                <w:u w:val="none"/>
              </w:rPr>
              <w:t>511376</w:t>
            </w:r>
            <w:bookmarkStart w:id="0" w:name="_GoBack"/>
            <w:bookmarkEnd w:id="0"/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6763C9">
              <w:rPr>
                <w:b/>
                <w:sz w:val="24"/>
                <w:szCs w:val="24"/>
              </w:rPr>
              <w:t>81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6763C9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6763C9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924848">
              <w:rPr>
                <w:b/>
              </w:rPr>
              <w:t>0</w:t>
            </w:r>
            <w:r w:rsidR="006763C9">
              <w:rPr>
                <w:b/>
              </w:rPr>
              <w:t>7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6763C9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924848">
              <w:rPr>
                <w:b/>
                <w:sz w:val="24"/>
                <w:szCs w:val="24"/>
              </w:rPr>
              <w:t>1</w:t>
            </w:r>
            <w:r w:rsidR="006763C9">
              <w:rPr>
                <w:b/>
                <w:sz w:val="24"/>
                <w:szCs w:val="24"/>
              </w:rPr>
              <w:t>7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6763C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924848">
              <w:rPr>
                <w:b/>
                <w:sz w:val="24"/>
                <w:szCs w:val="24"/>
              </w:rPr>
              <w:t>1</w:t>
            </w:r>
            <w:r w:rsidR="006763C9">
              <w:rPr>
                <w:b/>
                <w:sz w:val="24"/>
                <w:szCs w:val="24"/>
              </w:rPr>
              <w:t>8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6763C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924848">
              <w:rPr>
                <w:b/>
              </w:rPr>
              <w:t>1</w:t>
            </w:r>
            <w:r w:rsidR="006763C9">
              <w:rPr>
                <w:b/>
              </w:rPr>
              <w:t>9</w:t>
            </w:r>
            <w:r w:rsidR="00CF5A33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18" w:rsidRPr="00B6296E" w:rsidRDefault="009D0763" w:rsidP="00DB4E18">
            <w:pPr>
              <w:pStyle w:val="Default"/>
              <w:jc w:val="both"/>
              <w:rPr>
                <w:b/>
              </w:rPr>
            </w:pPr>
            <w:r w:rsidRPr="009D0763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t>Установлен запрет.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C9" w:rsidRPr="00B75B79" w:rsidRDefault="006763C9" w:rsidP="006763C9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763C9" w:rsidRPr="00B75B79" w:rsidRDefault="006763C9" w:rsidP="006763C9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DB4E18" w:rsidRDefault="006763C9" w:rsidP="006763C9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606C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63C9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FBC6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шрифт абзаца1"/>
    <w:rsid w:val="006763C9"/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5F7F-C7CE-47C1-8D56-2330EEBF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8</cp:revision>
  <cp:lastPrinted>2021-12-09T02:35:00Z</cp:lastPrinted>
  <dcterms:created xsi:type="dcterms:W3CDTF">2025-11-01T05:32:00Z</dcterms:created>
  <dcterms:modified xsi:type="dcterms:W3CDTF">2025-11-07T07:04:00Z</dcterms:modified>
</cp:coreProperties>
</file>