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Pr="00956C8D" w:rsidRDefault="00BD0F21" w:rsidP="00BD0F21">
      <w:pPr>
        <w:jc w:val="right"/>
        <w:rPr>
          <w:i/>
        </w:rPr>
      </w:pPr>
      <w:r w:rsidRPr="00BD0F21">
        <w:rPr>
          <w:i/>
        </w:rPr>
        <w:t>от "</w:t>
      </w:r>
      <w:r w:rsidR="00DB0E06" w:rsidRPr="00967BDA">
        <w:rPr>
          <w:i/>
        </w:rPr>
        <w:t>1</w:t>
      </w:r>
      <w:r w:rsidR="00614AC1" w:rsidRPr="00956C8D">
        <w:rPr>
          <w:i/>
        </w:rPr>
        <w:t>9</w:t>
      </w:r>
      <w:r w:rsidRPr="00BD0F21">
        <w:rPr>
          <w:i/>
        </w:rPr>
        <w:t xml:space="preserve">" </w:t>
      </w:r>
      <w:r w:rsidR="00DB0E06">
        <w:rPr>
          <w:i/>
        </w:rPr>
        <w:t>янва</w:t>
      </w:r>
      <w:r w:rsidRPr="00BD0F21">
        <w:rPr>
          <w:i/>
        </w:rPr>
        <w:t>ря 202</w:t>
      </w:r>
      <w:r w:rsidR="00DB0E06">
        <w:rPr>
          <w:i/>
        </w:rPr>
        <w:t>6</w:t>
      </w:r>
      <w:r w:rsidRPr="00BD0F21">
        <w:rPr>
          <w:i/>
        </w:rPr>
        <w:t xml:space="preserve"> г. № Закуп-</w:t>
      </w:r>
      <w:r w:rsidR="00614AC1" w:rsidRPr="00956C8D">
        <w:rPr>
          <w:i/>
        </w:rPr>
        <w:t>215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D7499" w:rsidRPr="008D7499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BE209C" w:rsidRPr="00BE209C">
        <w:rPr>
          <w:bCs/>
          <w:sz w:val="24"/>
          <w:szCs w:val="24"/>
        </w:rPr>
        <w:t>юридически</w:t>
      </w:r>
      <w:r w:rsidR="00BE209C">
        <w:rPr>
          <w:bCs/>
          <w:sz w:val="24"/>
          <w:szCs w:val="24"/>
        </w:rPr>
        <w:t>е</w:t>
      </w:r>
      <w:r w:rsidR="00BE209C" w:rsidRPr="00BE209C">
        <w:rPr>
          <w:bCs/>
          <w:sz w:val="24"/>
          <w:szCs w:val="24"/>
        </w:rPr>
        <w:t xml:space="preserve"> лиц</w:t>
      </w:r>
      <w:r w:rsidR="00BE209C">
        <w:rPr>
          <w:bCs/>
          <w:sz w:val="24"/>
          <w:szCs w:val="24"/>
        </w:rPr>
        <w:t>а</w:t>
      </w:r>
      <w:r w:rsidR="00BE209C" w:rsidRPr="00BE209C">
        <w:rPr>
          <w:bCs/>
          <w:sz w:val="24"/>
          <w:szCs w:val="24"/>
        </w:rPr>
        <w:t xml:space="preserve"> и индивидуальных предпринимателей (далее — Участники), в том числе субъекты малого и среднего предпринимательства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090BE7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BE209C" w:rsidRPr="00BE209C" w:rsidRDefault="00BE209C" w:rsidP="00BE209C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BE209C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A72E4C" w:rsidRPr="00A72E4C">
              <w:rPr>
                <w:bCs/>
                <w:sz w:val="24"/>
                <w:szCs w:val="24"/>
              </w:rPr>
              <w:t>Бурнашев Ян Петрович +7 (914) 272 97 48 доб. 2264</w:t>
            </w:r>
          </w:p>
          <w:p w:rsidR="00BE209C" w:rsidRPr="00BE209C" w:rsidRDefault="00BE209C" w:rsidP="00BE209C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BE209C">
              <w:rPr>
                <w:bCs/>
                <w:sz w:val="24"/>
                <w:szCs w:val="24"/>
              </w:rPr>
              <w:t>- по вопросам процедуры закупки Кучеров Михаил Дмитриевич +7(914) 272 97 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262A6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 xml:space="preserve">Предмет, наименование, перечень </w:t>
            </w:r>
            <w:r w:rsidR="006262A6">
              <w:rPr>
                <w:b/>
                <w:sz w:val="24"/>
                <w:szCs w:val="24"/>
              </w:rPr>
              <w:t>материал</w:t>
            </w:r>
            <w:r w:rsidRPr="0064714D">
              <w:rPr>
                <w:b/>
                <w:sz w:val="24"/>
                <w:szCs w:val="24"/>
              </w:rPr>
              <w:t xml:space="preserve">ов, </w:t>
            </w:r>
            <w:r w:rsidR="00A629F2">
              <w:rPr>
                <w:b/>
                <w:sz w:val="24"/>
                <w:szCs w:val="24"/>
              </w:rPr>
              <w:t xml:space="preserve">технические </w:t>
            </w:r>
            <w:proofErr w:type="spellStart"/>
            <w:r w:rsidR="00A629F2">
              <w:rPr>
                <w:b/>
                <w:sz w:val="24"/>
                <w:szCs w:val="24"/>
              </w:rPr>
              <w:t>хар-ки</w:t>
            </w:r>
            <w:proofErr w:type="spellEnd"/>
            <w:r w:rsidR="00A629F2">
              <w:rPr>
                <w:b/>
                <w:sz w:val="24"/>
                <w:szCs w:val="24"/>
              </w:rPr>
              <w:t xml:space="preserve">, </w:t>
            </w:r>
            <w:r w:rsidRPr="0064714D">
              <w:rPr>
                <w:b/>
                <w:sz w:val="24"/>
                <w:szCs w:val="24"/>
              </w:rPr>
              <w:t>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6262A6" w:rsidRPr="006262A6" w:rsidRDefault="006262A6" w:rsidP="006262A6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2A6">
              <w:rPr>
                <w:rFonts w:eastAsia="Calibri"/>
                <w:b/>
                <w:sz w:val="22"/>
                <w:szCs w:val="22"/>
                <w:lang w:eastAsia="en-US"/>
              </w:rPr>
              <w:t xml:space="preserve">Поставка </w:t>
            </w:r>
            <w:r w:rsidR="00614AC1" w:rsidRPr="00614AC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металлопроката для АО «Саханефтегазсбыт» в 2026 году.</w:t>
            </w:r>
          </w:p>
          <w:p w:rsidR="006262A6" w:rsidRDefault="006262A6" w:rsidP="006262A6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6262A6" w:rsidRPr="006262A6" w:rsidRDefault="006262A6" w:rsidP="006262A6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2A6">
              <w:rPr>
                <w:rFonts w:eastAsia="Calibri"/>
                <w:b/>
                <w:sz w:val="22"/>
                <w:szCs w:val="22"/>
                <w:lang w:eastAsia="en-US"/>
              </w:rPr>
              <w:t>Закупка осуществляется по Лоту №1:</w:t>
            </w:r>
          </w:p>
          <w:tbl>
            <w:tblPr>
              <w:tblW w:w="1309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2268"/>
              <w:gridCol w:w="2464"/>
              <w:gridCol w:w="1559"/>
              <w:gridCol w:w="1134"/>
              <w:gridCol w:w="1276"/>
              <w:gridCol w:w="1418"/>
              <w:gridCol w:w="2409"/>
            </w:tblGrid>
            <w:tr w:rsidR="00614AC1" w:rsidRPr="0022321B" w:rsidTr="00614AC1">
              <w:trPr>
                <w:trHeight w:val="1301"/>
                <w:jc w:val="center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b/>
                      <w:bCs/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Наименование товара поставки</w:t>
                  </w:r>
                </w:p>
              </w:tc>
              <w:tc>
                <w:tcPr>
                  <w:tcW w:w="2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Размеры изделия, мм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b/>
                      <w:bCs/>
                      <w:color w:val="000000"/>
                      <w:sz w:val="24"/>
                      <w:szCs w:val="24"/>
                    </w:rPr>
                    <w:t>Материал изделия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b/>
                      <w:bCs/>
                      <w:color w:val="000000"/>
                      <w:sz w:val="24"/>
                      <w:szCs w:val="24"/>
                    </w:rPr>
                    <w:t>ГОСТ (ТУ)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Кол-во, </w:t>
                  </w:r>
                  <w:proofErr w:type="spellStart"/>
                  <w:r w:rsidRPr="0022321B">
                    <w:rPr>
                      <w:b/>
                      <w:bCs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Кол-во, </w:t>
                  </w:r>
                  <w:proofErr w:type="spellStart"/>
                  <w:r w:rsidRPr="0022321B">
                    <w:rPr>
                      <w:b/>
                      <w:bCs/>
                      <w:color w:val="000000"/>
                      <w:sz w:val="24"/>
                      <w:szCs w:val="24"/>
                    </w:rPr>
                    <w:t>тн</w:t>
                  </w:r>
                  <w:proofErr w:type="spellEnd"/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4AC1" w:rsidRPr="0022321B" w:rsidRDefault="00614AC1" w:rsidP="00614AC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b/>
                      <w:bCs/>
                      <w:color w:val="000000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614AC1" w:rsidRPr="0022321B" w:rsidTr="00614AC1">
              <w:trPr>
                <w:trHeight w:val="15"/>
                <w:jc w:val="center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Лист стальной горячекатаный</w:t>
                  </w:r>
                </w:p>
              </w:tc>
              <w:tc>
                <w:tcPr>
                  <w:tcW w:w="2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6000х1500х4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</w:rPr>
                    <w:t>(длина, ширина, толщина)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сталь 09Г2С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19281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370,0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109,150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8 289 408,74</w:t>
                  </w:r>
                </w:p>
              </w:tc>
            </w:tr>
            <w:tr w:rsidR="00614AC1" w:rsidRPr="0022321B" w:rsidTr="00614AC1">
              <w:trPr>
                <w:trHeight w:val="15"/>
                <w:jc w:val="center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Лист стальной горячекатаный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6000х1500х5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</w:rPr>
                    <w:t>(длина,  ширина, толщина)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сталь 09Г2С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19281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17,700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1 346 301,22</w:t>
                  </w:r>
                </w:p>
              </w:tc>
            </w:tr>
            <w:tr w:rsidR="00614AC1" w:rsidRPr="0022321B" w:rsidTr="00614AC1">
              <w:trPr>
                <w:trHeight w:val="15"/>
                <w:jc w:val="center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Лист стальной горячекатаный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6000х1500х6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</w:rPr>
                    <w:t>(длина, ширина, толщина)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сталь 09Г2С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19281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42,400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14AC1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3 222 873,98</w:t>
                  </w:r>
                </w:p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14AC1" w:rsidRPr="0022321B" w:rsidTr="00614AC1">
              <w:trPr>
                <w:trHeight w:val="806"/>
                <w:jc w:val="center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Лист стальной горячекатаный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6000х1500х7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</w:rPr>
                    <w:t>(длина, ширина, толщина)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сталь 09Г2С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19281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25,500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2 014 529,96</w:t>
                  </w:r>
                </w:p>
              </w:tc>
            </w:tr>
            <w:tr w:rsidR="00614AC1" w:rsidRPr="0022321B" w:rsidTr="00614AC1">
              <w:trPr>
                <w:trHeight w:val="15"/>
                <w:jc w:val="center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ab/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 xml:space="preserve">Труба стальная </w:t>
                  </w:r>
                  <w:proofErr w:type="spellStart"/>
                  <w:r w:rsidRPr="0022321B">
                    <w:rPr>
                      <w:color w:val="000000"/>
                      <w:sz w:val="24"/>
                      <w:szCs w:val="24"/>
                    </w:rPr>
                    <w:t>водогазопроводная</w:t>
                  </w:r>
                  <w:proofErr w:type="spellEnd"/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25х3,2х 6000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</w:rPr>
                    <w:t>(диаметр, толщина, длина)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3сп/</w:t>
                  </w:r>
                  <w:proofErr w:type="spellStart"/>
                  <w:r w:rsidRPr="0022321B">
                    <w:rPr>
                      <w:color w:val="000000"/>
                      <w:sz w:val="24"/>
                      <w:szCs w:val="24"/>
                    </w:rPr>
                    <w:t>пс</w:t>
                  </w:r>
                  <w:proofErr w:type="spellEnd"/>
                </w:p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3262</w:t>
                  </w:r>
                </w:p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30,0</w:t>
                  </w:r>
                </w:p>
                <w:p w:rsidR="00614AC1" w:rsidRPr="0022321B" w:rsidRDefault="00614AC1" w:rsidP="00614AC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0,430</w:t>
                  </w:r>
                </w:p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31 405,81</w:t>
                  </w:r>
                </w:p>
              </w:tc>
            </w:tr>
            <w:tr w:rsidR="00614AC1" w:rsidRPr="0022321B" w:rsidTr="00614AC1">
              <w:trPr>
                <w:trHeight w:val="15"/>
                <w:jc w:val="center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Труба стальная электросварная</w:t>
                  </w:r>
                </w:p>
              </w:tc>
              <w:tc>
                <w:tcPr>
                  <w:tcW w:w="2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76х3,5х </w:t>
                  </w:r>
                  <w:r w:rsidRPr="0022321B">
                    <w:rPr>
                      <w:color w:val="000000"/>
                      <w:sz w:val="24"/>
                      <w:szCs w:val="24"/>
                    </w:rPr>
                    <w:t xml:space="preserve"> 12000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</w:rPr>
                    <w:t>(диаметр, толщина, длина)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3сп/</w:t>
                  </w:r>
                  <w:proofErr w:type="spellStart"/>
                  <w:r w:rsidRPr="0022321B">
                    <w:rPr>
                      <w:color w:val="000000"/>
                      <w:sz w:val="24"/>
                      <w:szCs w:val="24"/>
                    </w:rPr>
                    <w:t>пс</w:t>
                  </w:r>
                  <w:proofErr w:type="spellEnd"/>
                  <w:r w:rsidRPr="0022321B">
                    <w:rPr>
                      <w:color w:val="000000"/>
                      <w:sz w:val="24"/>
                      <w:szCs w:val="24"/>
                    </w:rPr>
                    <w:t xml:space="preserve">, ст. 10-20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10704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11,0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0,825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59 490,28</w:t>
                  </w:r>
                </w:p>
              </w:tc>
            </w:tr>
            <w:tr w:rsidR="00614AC1" w:rsidRPr="0022321B" w:rsidTr="00614AC1">
              <w:trPr>
                <w:trHeight w:val="15"/>
                <w:jc w:val="center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Уголок стальной равнополочный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35х4,0х 12000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</w:rPr>
                    <w:t>(ширина, толщина, длина)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сталь ст3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8509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24,0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0,605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51 364,29</w:t>
                  </w:r>
                </w:p>
              </w:tc>
            </w:tr>
            <w:tr w:rsidR="00614AC1" w:rsidRPr="0022321B" w:rsidTr="00614AC1">
              <w:trPr>
                <w:trHeight w:val="15"/>
                <w:jc w:val="center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Арматура класс А3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д. 12 мм х 11700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</w:rPr>
                    <w:t>(диаметр, длина)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25Г2С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5781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80,0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0,8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53 857,65</w:t>
                  </w:r>
                </w:p>
              </w:tc>
            </w:tr>
            <w:tr w:rsidR="00614AC1" w:rsidRPr="0022321B" w:rsidTr="00614AC1">
              <w:trPr>
                <w:trHeight w:val="31"/>
                <w:jc w:val="center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Полоса стальная горячекатаная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40х4х</w:t>
                  </w:r>
                  <w:r w:rsidRPr="0022321B">
                    <w:rPr>
                      <w:color w:val="000000"/>
                      <w:sz w:val="24"/>
                      <w:szCs w:val="24"/>
                    </w:rPr>
                    <w:t>6000</w:t>
                  </w:r>
                </w:p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(ширина, толщина, длина)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ст. 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80,0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0,605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48 403,91</w:t>
                  </w:r>
                </w:p>
              </w:tc>
            </w:tr>
            <w:tr w:rsidR="00614AC1" w:rsidRPr="0022321B" w:rsidTr="00614AC1">
              <w:trPr>
                <w:trHeight w:val="15"/>
                <w:jc w:val="center"/>
              </w:trPr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 xml:space="preserve">Лист </w:t>
                  </w:r>
                  <w:proofErr w:type="spellStart"/>
                  <w:r w:rsidRPr="0022321B">
                    <w:rPr>
                      <w:color w:val="000000"/>
                      <w:sz w:val="24"/>
                      <w:szCs w:val="24"/>
                    </w:rPr>
                    <w:t>просечно</w:t>
                  </w:r>
                  <w:proofErr w:type="spellEnd"/>
                  <w:r w:rsidRPr="0022321B">
                    <w:rPr>
                      <w:color w:val="000000"/>
                      <w:sz w:val="24"/>
                      <w:szCs w:val="24"/>
                    </w:rPr>
                    <w:t>-вытяжной ПВЛ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ПВ-406, ширина 1м длина 2м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ст. 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8706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 117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3,904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14AC1" w:rsidRPr="0022321B" w:rsidRDefault="00614AC1" w:rsidP="00614AC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color w:val="000000"/>
                      <w:sz w:val="24"/>
                      <w:szCs w:val="24"/>
                    </w:rPr>
                    <w:t>309 592,18</w:t>
                  </w:r>
                </w:p>
              </w:tc>
            </w:tr>
            <w:tr w:rsidR="00614AC1" w:rsidRPr="0022321B" w:rsidTr="00614AC1">
              <w:trPr>
                <w:trHeight w:val="372"/>
                <w:jc w:val="center"/>
              </w:trPr>
              <w:tc>
                <w:tcPr>
                  <w:tcW w:w="799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14AC1" w:rsidRPr="0022321B" w:rsidRDefault="00614AC1" w:rsidP="00614AC1">
                  <w:pPr>
                    <w:jc w:val="right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b/>
                      <w:color w:val="000000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14AC1" w:rsidRPr="0022321B" w:rsidRDefault="00614AC1" w:rsidP="00614AC1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b/>
                      <w:color w:val="000000"/>
                      <w:sz w:val="24"/>
                      <w:szCs w:val="24"/>
                    </w:rPr>
                    <w:t>912,0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614AC1" w:rsidRPr="0022321B" w:rsidRDefault="00614AC1" w:rsidP="00614AC1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b/>
                      <w:color w:val="000000"/>
                      <w:sz w:val="24"/>
                      <w:szCs w:val="24"/>
                    </w:rPr>
                    <w:t>201,950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14AC1" w:rsidRPr="0022321B" w:rsidRDefault="00614AC1" w:rsidP="00614AC1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22321B">
                    <w:rPr>
                      <w:b/>
                      <w:color w:val="000000"/>
                      <w:sz w:val="24"/>
                      <w:szCs w:val="24"/>
                    </w:rPr>
                    <w:t>15 427 228,00</w:t>
                  </w:r>
                </w:p>
              </w:tc>
            </w:tr>
          </w:tbl>
          <w:p w:rsidR="005C4EE5" w:rsidRPr="006262A6" w:rsidRDefault="005C4EE5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6C0A79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lastRenderedPageBreak/>
              <w:t xml:space="preserve">Срок </w:t>
            </w:r>
            <w:r w:rsidR="009046E5" w:rsidRPr="009046E5">
              <w:rPr>
                <w:b/>
                <w:sz w:val="24"/>
                <w:szCs w:val="24"/>
              </w:rPr>
              <w:t>поставки товара</w:t>
            </w:r>
          </w:p>
        </w:tc>
        <w:tc>
          <w:tcPr>
            <w:tcW w:w="13183" w:type="dxa"/>
            <w:shd w:val="clear" w:color="auto" w:fill="auto"/>
          </w:tcPr>
          <w:p w:rsidR="00A83D73" w:rsidRPr="00D35D40" w:rsidRDefault="00A629F2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629F2">
              <w:rPr>
                <w:sz w:val="24"/>
                <w:szCs w:val="24"/>
              </w:rPr>
              <w:t xml:space="preserve"> течение 30 календарных дней с момента подписания Договора поставки </w:t>
            </w:r>
          </w:p>
        </w:tc>
      </w:tr>
      <w:tr w:rsidR="009046E5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9046E5" w:rsidRPr="00A83D73" w:rsidRDefault="009046E5" w:rsidP="006C0A79">
            <w:pPr>
              <w:rPr>
                <w:b/>
                <w:sz w:val="24"/>
                <w:szCs w:val="24"/>
              </w:rPr>
            </w:pPr>
            <w:r w:rsidRPr="009046E5">
              <w:rPr>
                <w:b/>
                <w:sz w:val="24"/>
                <w:szCs w:val="24"/>
              </w:rPr>
              <w:t>Место поставки товара</w:t>
            </w:r>
          </w:p>
        </w:tc>
        <w:tc>
          <w:tcPr>
            <w:tcW w:w="13183" w:type="dxa"/>
            <w:shd w:val="clear" w:color="auto" w:fill="auto"/>
          </w:tcPr>
          <w:p w:rsidR="009046E5" w:rsidRPr="009046E5" w:rsidRDefault="00A629F2" w:rsidP="009046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629F2">
              <w:rPr>
                <w:sz w:val="24"/>
                <w:szCs w:val="24"/>
              </w:rPr>
              <w:t xml:space="preserve">Российская Федерация, Республика Саха (Якутия), </w:t>
            </w:r>
            <w:proofErr w:type="spellStart"/>
            <w:r w:rsidRPr="00A629F2">
              <w:rPr>
                <w:sz w:val="24"/>
                <w:szCs w:val="24"/>
              </w:rPr>
              <w:t>п.Жатай</w:t>
            </w:r>
            <w:proofErr w:type="spellEnd"/>
            <w:r w:rsidRPr="00A629F2">
              <w:rPr>
                <w:sz w:val="24"/>
                <w:szCs w:val="24"/>
              </w:rPr>
              <w:t xml:space="preserve">, </w:t>
            </w:r>
            <w:proofErr w:type="spellStart"/>
            <w:r w:rsidRPr="00A629F2">
              <w:rPr>
                <w:sz w:val="24"/>
                <w:szCs w:val="24"/>
              </w:rPr>
              <w:t>ул.Строда</w:t>
            </w:r>
            <w:proofErr w:type="spellEnd"/>
            <w:r w:rsidRPr="00A629F2">
              <w:rPr>
                <w:sz w:val="24"/>
                <w:szCs w:val="24"/>
              </w:rPr>
              <w:t>, д. 12, филиал "Якутская нефтебаза" АО "Саханефтегазсбыт"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0031B5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 xml:space="preserve">Электронная площадка, на которой будет проводиться состязательная закупка в </w:t>
            </w:r>
            <w:r w:rsidRPr="00A86451">
              <w:rPr>
                <w:b/>
                <w:sz w:val="24"/>
                <w:szCs w:val="24"/>
              </w:rPr>
              <w:lastRenderedPageBreak/>
              <w:t>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5A29F1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5A29F1">
              <w:rPr>
                <w:b/>
                <w:sz w:val="24"/>
                <w:szCs w:val="24"/>
                <w:lang w:eastAsia="ru-RU"/>
              </w:rPr>
              <w:lastRenderedPageBreak/>
              <w:t xml:space="preserve">Электронная площадка </w:t>
            </w:r>
            <w:r w:rsidR="006C62E6" w:rsidRPr="005A29F1">
              <w:rPr>
                <w:b/>
                <w:bCs/>
                <w:sz w:val="24"/>
                <w:szCs w:val="24"/>
                <w:lang w:eastAsia="ru-RU"/>
              </w:rPr>
              <w:t xml:space="preserve">ЭТП </w:t>
            </w:r>
            <w:r w:rsidR="00A629F2" w:rsidRPr="00A629F2">
              <w:rPr>
                <w:b/>
                <w:bCs/>
                <w:sz w:val="24"/>
                <w:szCs w:val="24"/>
                <w:lang w:eastAsia="ru-RU"/>
              </w:rPr>
              <w:t>АО «ТЭК-Торг» https://www.tektorg.ru/</w:t>
            </w:r>
          </w:p>
          <w:p w:rsidR="0064714D" w:rsidRPr="005A29F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5A29F1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5A29F1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5A29F1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090BE7" w:rsidRPr="00090BE7">
              <w:rPr>
                <w:b/>
                <w:color w:val="333333"/>
                <w:sz w:val="24"/>
                <w:szCs w:val="24"/>
              </w:rPr>
              <w:t>ЗП601435</w:t>
            </w:r>
            <w:r w:rsidR="00090BE7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5A29F1">
              <w:rPr>
                <w:sz w:val="24"/>
                <w:szCs w:val="24"/>
              </w:rPr>
              <w:t xml:space="preserve">на </w:t>
            </w:r>
            <w:r w:rsidRPr="005A29F1">
              <w:rPr>
                <w:b/>
                <w:sz w:val="24"/>
                <w:szCs w:val="24"/>
                <w:lang w:eastAsia="ru-RU"/>
              </w:rPr>
              <w:t xml:space="preserve">Электронной площадке </w:t>
            </w:r>
            <w:r w:rsidR="006C62E6" w:rsidRPr="005A29F1">
              <w:rPr>
                <w:b/>
                <w:bCs/>
                <w:sz w:val="24"/>
                <w:szCs w:val="24"/>
                <w:lang w:eastAsia="ru-RU"/>
              </w:rPr>
              <w:t xml:space="preserve">ЭТП </w:t>
            </w:r>
            <w:r w:rsidR="00A629F2" w:rsidRPr="00A629F2">
              <w:rPr>
                <w:b/>
                <w:bCs/>
                <w:sz w:val="24"/>
                <w:szCs w:val="24"/>
                <w:lang w:eastAsia="ru-RU"/>
              </w:rPr>
              <w:t>АО «ТЭК-Торг» https://www.tektorg.ru/</w:t>
            </w:r>
          </w:p>
          <w:p w:rsidR="0064714D" w:rsidRPr="005A29F1" w:rsidRDefault="0064714D" w:rsidP="00261405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64714D" w:rsidRPr="005A29F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5A29F1">
              <w:rPr>
                <w:b/>
                <w:sz w:val="24"/>
                <w:szCs w:val="24"/>
              </w:rPr>
              <w:t xml:space="preserve">№ </w:t>
            </w:r>
            <w:r w:rsidR="00A629F2">
              <w:rPr>
                <w:b/>
                <w:sz w:val="24"/>
                <w:szCs w:val="24"/>
              </w:rPr>
              <w:t>5</w:t>
            </w:r>
            <w:r w:rsidRPr="005A29F1">
              <w:rPr>
                <w:b/>
                <w:sz w:val="24"/>
                <w:szCs w:val="24"/>
              </w:rPr>
              <w:t xml:space="preserve"> </w:t>
            </w:r>
            <w:r w:rsidRPr="005A29F1">
              <w:rPr>
                <w:sz w:val="24"/>
                <w:szCs w:val="24"/>
              </w:rPr>
              <w:t xml:space="preserve">на  </w:t>
            </w:r>
            <w:hyperlink r:id="rId7" w:history="1">
              <w:r w:rsidRPr="005A29F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5A29F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5A29F1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5A29F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5A29F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6C62E6" w:rsidRPr="006C62E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ЭТП </w:t>
                  </w:r>
                  <w:r w:rsidR="00A629F2" w:rsidRPr="00A629F2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АО «ТЭК-Торг» https://www.tektorg.ru/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8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956C8D">
                    <w:rPr>
                      <w:b/>
                      <w:color w:val="000000"/>
                      <w:sz w:val="24"/>
                      <w:szCs w:val="24"/>
                    </w:rPr>
                    <w:t>19</w:t>
                  </w:r>
                  <w:r w:rsidR="00BE209C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DB0E06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BE209C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DB0E06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DB0E06">
                    <w:rPr>
                      <w:b/>
                      <w:color w:val="000000"/>
                      <w:sz w:val="24"/>
                      <w:szCs w:val="24"/>
                    </w:rPr>
                    <w:t xml:space="preserve"> 2</w:t>
                  </w:r>
                  <w:r w:rsidR="00956C8D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="00BE209C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DB0E06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BE209C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DB0E06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6C62E6" w:rsidRPr="006C62E6">
              <w:rPr>
                <w:b/>
                <w:bCs/>
                <w:sz w:val="24"/>
                <w:szCs w:val="24"/>
                <w:lang w:eastAsia="ru-RU"/>
              </w:rPr>
              <w:t xml:space="preserve">ЭТП </w:t>
            </w:r>
            <w:r w:rsidR="00A629F2" w:rsidRPr="00A629F2">
              <w:rPr>
                <w:b/>
                <w:bCs/>
                <w:sz w:val="24"/>
                <w:szCs w:val="24"/>
                <w:lang w:eastAsia="ru-RU"/>
              </w:rPr>
              <w:t xml:space="preserve">АО «ТЭК-Торг» </w:t>
            </w:r>
            <w:proofErr w:type="gramStart"/>
            <w:r w:rsidR="00A629F2" w:rsidRPr="00A629F2">
              <w:rPr>
                <w:b/>
                <w:bCs/>
                <w:sz w:val="24"/>
                <w:szCs w:val="24"/>
                <w:lang w:eastAsia="ru-RU"/>
              </w:rPr>
              <w:t>https://www.tektorg.ru/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</w:t>
            </w:r>
            <w:r w:rsidRPr="00956C8D">
              <w:t xml:space="preserve">Заявок </w:t>
            </w:r>
            <w:r w:rsidRPr="00956C8D">
              <w:rPr>
                <w:b/>
              </w:rPr>
              <w:t xml:space="preserve">с </w:t>
            </w:r>
            <w:r w:rsidR="00DB0E06" w:rsidRPr="00956C8D">
              <w:rPr>
                <w:b/>
              </w:rPr>
              <w:t>1</w:t>
            </w:r>
            <w:r w:rsidR="00956C8D" w:rsidRPr="00956C8D">
              <w:rPr>
                <w:b/>
              </w:rPr>
              <w:t>9</w:t>
            </w:r>
            <w:r w:rsidR="00BE209C" w:rsidRPr="00956C8D">
              <w:rPr>
                <w:b/>
              </w:rPr>
              <w:t>.</w:t>
            </w:r>
            <w:r w:rsidR="00DB0E06" w:rsidRPr="00956C8D">
              <w:rPr>
                <w:b/>
              </w:rPr>
              <w:t>0</w:t>
            </w:r>
            <w:r w:rsidR="00BE209C" w:rsidRPr="00956C8D">
              <w:rPr>
                <w:b/>
              </w:rPr>
              <w:t>1</w:t>
            </w:r>
            <w:r w:rsidRPr="00956C8D">
              <w:rPr>
                <w:b/>
              </w:rPr>
              <w:t>.202</w:t>
            </w:r>
            <w:r w:rsidR="00DB0E06" w:rsidRPr="00956C8D">
              <w:rPr>
                <w:b/>
              </w:rPr>
              <w:t>6</w:t>
            </w:r>
            <w:r w:rsidRPr="00956C8D">
              <w:rPr>
                <w:b/>
              </w:rPr>
              <w:t xml:space="preserve">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956C8D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DB0E06">
              <w:rPr>
                <w:b/>
                <w:sz w:val="24"/>
                <w:szCs w:val="24"/>
              </w:rPr>
              <w:t>) 2</w:t>
            </w:r>
            <w:r w:rsidR="00956C8D">
              <w:rPr>
                <w:b/>
                <w:sz w:val="24"/>
                <w:szCs w:val="24"/>
              </w:rPr>
              <w:t>6</w:t>
            </w:r>
            <w:r w:rsidR="00BE209C">
              <w:rPr>
                <w:b/>
                <w:sz w:val="24"/>
                <w:szCs w:val="24"/>
              </w:rPr>
              <w:t>.</w:t>
            </w:r>
            <w:r w:rsidR="00DB0E06">
              <w:rPr>
                <w:b/>
                <w:sz w:val="24"/>
                <w:szCs w:val="24"/>
              </w:rPr>
              <w:t>0</w:t>
            </w:r>
            <w:r w:rsidR="00BE209C">
              <w:rPr>
                <w:b/>
                <w:sz w:val="24"/>
                <w:szCs w:val="24"/>
              </w:rPr>
              <w:t>1</w:t>
            </w:r>
            <w:r w:rsidRPr="00B05588">
              <w:rPr>
                <w:b/>
                <w:sz w:val="24"/>
                <w:szCs w:val="24"/>
              </w:rPr>
              <w:t>.202</w:t>
            </w:r>
            <w:r w:rsidR="00DB0E06">
              <w:rPr>
                <w:b/>
                <w:sz w:val="24"/>
                <w:szCs w:val="24"/>
              </w:rPr>
              <w:t>6</w:t>
            </w:r>
            <w:r w:rsidRPr="00B05588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956C8D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DB0E06">
              <w:rPr>
                <w:b/>
                <w:sz w:val="24"/>
                <w:szCs w:val="24"/>
              </w:rPr>
              <w:t>2</w:t>
            </w:r>
            <w:r w:rsidR="00956C8D">
              <w:rPr>
                <w:b/>
                <w:sz w:val="24"/>
                <w:szCs w:val="24"/>
              </w:rPr>
              <w:t>7</w:t>
            </w:r>
            <w:r w:rsidR="00BE209C">
              <w:rPr>
                <w:b/>
                <w:sz w:val="24"/>
                <w:szCs w:val="24"/>
              </w:rPr>
              <w:t>.01.2026</w:t>
            </w:r>
            <w:r w:rsidRPr="00B05588">
              <w:rPr>
                <w:b/>
                <w:sz w:val="24"/>
                <w:szCs w:val="24"/>
              </w:rPr>
              <w:t xml:space="preserve">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956C8D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DB0E06">
              <w:rPr>
                <w:b/>
              </w:rPr>
              <w:t>2</w:t>
            </w:r>
            <w:r w:rsidR="00956C8D">
              <w:rPr>
                <w:b/>
              </w:rPr>
              <w:t>8</w:t>
            </w:r>
            <w:r w:rsidR="00BE209C">
              <w:rPr>
                <w:b/>
              </w:rPr>
              <w:t>.01.2026</w:t>
            </w:r>
            <w:r w:rsidRPr="00B05588">
              <w:rPr>
                <w:b/>
              </w:rPr>
              <w:t xml:space="preserve">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0BE7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1D99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48B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E06"/>
    <w:rsid w:val="00415F07"/>
    <w:rsid w:val="00417673"/>
    <w:rsid w:val="00420058"/>
    <w:rsid w:val="00422E99"/>
    <w:rsid w:val="00424403"/>
    <w:rsid w:val="004249D1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9F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4AC1"/>
    <w:rsid w:val="00615E48"/>
    <w:rsid w:val="00616FF5"/>
    <w:rsid w:val="0061729E"/>
    <w:rsid w:val="006223B2"/>
    <w:rsid w:val="006262A6"/>
    <w:rsid w:val="0062725A"/>
    <w:rsid w:val="0062760F"/>
    <w:rsid w:val="00627BE9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C62E6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D7499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56C8D"/>
    <w:rsid w:val="00963A89"/>
    <w:rsid w:val="00965181"/>
    <w:rsid w:val="009663B3"/>
    <w:rsid w:val="00967BDA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249"/>
    <w:rsid w:val="009F7E01"/>
    <w:rsid w:val="00A003DB"/>
    <w:rsid w:val="00A01013"/>
    <w:rsid w:val="00A045DF"/>
    <w:rsid w:val="00A04D75"/>
    <w:rsid w:val="00A1598A"/>
    <w:rsid w:val="00A15EE2"/>
    <w:rsid w:val="00A227A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29F2"/>
    <w:rsid w:val="00A6393A"/>
    <w:rsid w:val="00A65739"/>
    <w:rsid w:val="00A66194"/>
    <w:rsid w:val="00A71395"/>
    <w:rsid w:val="00A72E4C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2708"/>
    <w:rsid w:val="00AE34AD"/>
    <w:rsid w:val="00AE5A04"/>
    <w:rsid w:val="00AF2215"/>
    <w:rsid w:val="00AF60CD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0F21"/>
    <w:rsid w:val="00BD6370"/>
    <w:rsid w:val="00BE02A5"/>
    <w:rsid w:val="00BE209C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0E06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2E95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C41CB-CCF5-4B6F-AB32-B1612B437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6</cp:revision>
  <cp:lastPrinted>2021-12-09T02:35:00Z</cp:lastPrinted>
  <dcterms:created xsi:type="dcterms:W3CDTF">2026-01-19T05:20:00Z</dcterms:created>
  <dcterms:modified xsi:type="dcterms:W3CDTF">2026-01-19T08:00:00Z</dcterms:modified>
</cp:coreProperties>
</file>