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AD4713" w:rsidRPr="006A61E3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от </w:t>
      </w:r>
      <w:r w:rsidR="00AC15A5">
        <w:rPr>
          <w:rFonts w:eastAsia="Calibri"/>
          <w:i/>
          <w:sz w:val="24"/>
          <w:szCs w:val="24"/>
          <w:lang w:eastAsia="en-US"/>
        </w:rPr>
        <w:t>19.11</w:t>
      </w:r>
      <w:r w:rsidR="002664F6" w:rsidRPr="006A61E3">
        <w:rPr>
          <w:rFonts w:eastAsia="Calibri"/>
          <w:i/>
          <w:sz w:val="24"/>
          <w:szCs w:val="24"/>
          <w:lang w:eastAsia="en-US"/>
        </w:rPr>
        <w:t>.2021</w:t>
      </w:r>
      <w:r w:rsidRPr="006A61E3">
        <w:rPr>
          <w:rFonts w:eastAsia="Calibri"/>
          <w:i/>
          <w:sz w:val="24"/>
          <w:szCs w:val="24"/>
          <w:lang w:eastAsia="en-US"/>
        </w:rPr>
        <w:t xml:space="preserve">г. № </w:t>
      </w:r>
      <w:r w:rsidR="009D0D41" w:rsidRPr="006A61E3">
        <w:rPr>
          <w:rFonts w:eastAsia="Calibri"/>
          <w:i/>
          <w:sz w:val="24"/>
          <w:szCs w:val="24"/>
          <w:lang w:eastAsia="en-US"/>
        </w:rPr>
        <w:t>Закуп-</w:t>
      </w:r>
      <w:r w:rsidR="00AC15A5">
        <w:rPr>
          <w:rFonts w:eastAsia="Calibri"/>
          <w:i/>
          <w:sz w:val="24"/>
          <w:szCs w:val="24"/>
          <w:lang w:eastAsia="en-US"/>
        </w:rPr>
        <w:t>5389</w:t>
      </w: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15A5">
        <w:rPr>
          <w:sz w:val="24"/>
          <w:szCs w:val="24"/>
        </w:rPr>
        <w:t>2</w:t>
      </w:r>
      <w:r w:rsidR="005C465C">
        <w:rPr>
          <w:sz w:val="24"/>
          <w:szCs w:val="24"/>
        </w:rPr>
        <w:t>5</w:t>
      </w:r>
      <w:r w:rsidR="00AC15A5">
        <w:rPr>
          <w:sz w:val="24"/>
          <w:szCs w:val="24"/>
        </w:rPr>
        <w:t>.06</w:t>
      </w:r>
      <w:r w:rsidR="008444BE">
        <w:rPr>
          <w:sz w:val="24"/>
          <w:szCs w:val="24"/>
        </w:rPr>
        <w:t>.2021</w:t>
      </w:r>
      <w:r w:rsidR="008444BE" w:rsidRPr="00173FB9">
        <w:rPr>
          <w:sz w:val="24"/>
          <w:szCs w:val="24"/>
        </w:rPr>
        <w:t xml:space="preserve">г. № </w:t>
      </w:r>
      <w:r w:rsidR="00AC15A5">
        <w:rPr>
          <w:sz w:val="24"/>
          <w:szCs w:val="24"/>
        </w:rPr>
        <w:t>7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68769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D4794" w:rsidRDefault="008D4794" w:rsidP="00620C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Дмитрий Семенович -</w:t>
            </w:r>
            <w:r w:rsidRPr="008D4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</w:t>
            </w:r>
            <w:r w:rsidRPr="008D4794">
              <w:rPr>
                <w:sz w:val="24"/>
                <w:szCs w:val="24"/>
              </w:rPr>
              <w:t xml:space="preserve"> (4112) 31-89-32 (доб. 265) 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bookmarkStart w:id="1" w:name="_GoBack" w:colFirst="1" w:colLast="1"/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9D0D41" w:rsidP="00687697">
            <w:pPr>
              <w:pStyle w:val="ab"/>
              <w:widowControl w:val="0"/>
              <w:autoSpaceDE w:val="0"/>
              <w:ind w:left="-74"/>
              <w:jc w:val="both"/>
            </w:pPr>
            <w:r w:rsidRPr="009D0D41">
              <w:rPr>
                <w:iCs/>
                <w:lang w:eastAsia="ru-RU"/>
              </w:rPr>
              <w:t>Поставка дизель-генераторной установки для нужд филиалов АО «Саханефтегазсбыт» в 202</w:t>
            </w:r>
            <w:r w:rsidR="00687697" w:rsidRPr="00687697">
              <w:rPr>
                <w:iCs/>
                <w:lang w:eastAsia="ru-RU"/>
              </w:rPr>
              <w:t>2</w:t>
            </w:r>
            <w:r w:rsidRPr="009D0D41">
              <w:rPr>
                <w:iCs/>
                <w:lang w:eastAsia="ru-RU"/>
              </w:rPr>
              <w:t xml:space="preserve"> году.</w:t>
            </w:r>
          </w:p>
        </w:tc>
      </w:tr>
      <w:bookmarkEnd w:id="1"/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9D0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 (цене лота)</w:t>
            </w:r>
            <w:r>
              <w:rPr>
                <w:b/>
                <w:sz w:val="24"/>
                <w:szCs w:val="24"/>
              </w:rPr>
              <w:t>, м</w:t>
            </w:r>
            <w:r w:rsidRPr="009D0D41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D41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64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0A0" w:firstRow="1" w:lastRow="0" w:firstColumn="1" w:lastColumn="0" w:noHBand="0" w:noVBand="0"/>
            </w:tblPr>
            <w:tblGrid>
              <w:gridCol w:w="743"/>
              <w:gridCol w:w="3657"/>
              <w:gridCol w:w="850"/>
              <w:gridCol w:w="1985"/>
              <w:gridCol w:w="5406"/>
            </w:tblGrid>
            <w:tr w:rsidR="00AC15A5" w:rsidRPr="007F1D72" w:rsidTr="00AC15A5">
              <w:trPr>
                <w:trHeight w:val="1164"/>
              </w:trPr>
              <w:tc>
                <w:tcPr>
                  <w:tcW w:w="7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AC15A5" w:rsidRPr="007F1D72" w:rsidRDefault="00AC15A5" w:rsidP="00AC15A5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b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AC15A5" w:rsidRPr="007F1D72" w:rsidRDefault="00AC15A5" w:rsidP="00AC15A5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b/>
                      <w:sz w:val="24"/>
                      <w:szCs w:val="24"/>
                      <w:lang w:eastAsia="ru-RU"/>
                    </w:rPr>
                    <w:t>Марка и наименование товара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AC15A5" w:rsidRPr="007F1D72" w:rsidRDefault="00AC15A5" w:rsidP="00AC15A5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b/>
                      <w:sz w:val="24"/>
                      <w:szCs w:val="24"/>
                      <w:lang w:eastAsia="ru-RU"/>
                    </w:rPr>
                    <w:t>Кол-во, ед.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AC15A5" w:rsidRPr="007F1D72" w:rsidRDefault="00AC15A5" w:rsidP="00AC15A5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b/>
                      <w:iCs/>
                      <w:sz w:val="24"/>
                      <w:szCs w:val="24"/>
                      <w:lang w:eastAsia="ru-RU"/>
                    </w:rPr>
                    <w:t xml:space="preserve">Сведения о начальной (максимальной) цене договора </w:t>
                  </w:r>
                </w:p>
                <w:p w:rsidR="00AC15A5" w:rsidRPr="007F1D72" w:rsidRDefault="00AC15A5" w:rsidP="00AC15A5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b/>
                      <w:iCs/>
                      <w:sz w:val="24"/>
                      <w:szCs w:val="24"/>
                      <w:lang w:eastAsia="ru-RU"/>
                    </w:rPr>
                    <w:t>без НДС, руб.</w:t>
                  </w:r>
                </w:p>
              </w:tc>
              <w:tc>
                <w:tcPr>
                  <w:tcW w:w="54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C15A5" w:rsidRPr="007F1D72" w:rsidRDefault="00AC15A5" w:rsidP="00AC15A5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b/>
                      <w:sz w:val="24"/>
                      <w:szCs w:val="24"/>
                      <w:lang w:eastAsia="ru-RU"/>
                    </w:rPr>
                    <w:t>Место поставки</w:t>
                  </w:r>
                </w:p>
              </w:tc>
            </w:tr>
            <w:tr w:rsidR="00AC15A5" w:rsidRPr="007F1D72" w:rsidTr="00AC15A5">
              <w:trPr>
                <w:trHeight w:val="1214"/>
              </w:trPr>
              <w:tc>
                <w:tcPr>
                  <w:tcW w:w="7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AC15A5" w:rsidRPr="007F1D72" w:rsidRDefault="00AC15A5" w:rsidP="00AC15A5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AC15A5" w:rsidRPr="007F1D72" w:rsidRDefault="00AC15A5" w:rsidP="00AC15A5">
                  <w:pPr>
                    <w:rPr>
                      <w:b/>
                      <w:sz w:val="24"/>
                      <w:szCs w:val="24"/>
                    </w:rPr>
                  </w:pPr>
                  <w:r w:rsidRPr="007F1D72">
                    <w:rPr>
                      <w:b/>
                      <w:sz w:val="24"/>
                      <w:szCs w:val="24"/>
                      <w:lang w:eastAsia="ru-RU"/>
                    </w:rPr>
                    <w:t>ДЭС – 100 кВт (АД 100 Т- 400 - 2 Р – ЯМЗ, утепленная, контейнерного исполнения, с АВР).</w:t>
                  </w:r>
                </w:p>
                <w:p w:rsidR="00AC15A5" w:rsidRPr="007F1D72" w:rsidRDefault="00AC15A5" w:rsidP="00AC15A5">
                  <w:pPr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AC15A5" w:rsidRPr="007F1D72" w:rsidRDefault="00AC15A5" w:rsidP="00AC15A5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AC15A5" w:rsidRPr="007F1D72" w:rsidRDefault="00AC15A5" w:rsidP="00AC15A5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sz w:val="24"/>
                      <w:szCs w:val="24"/>
                      <w:lang w:eastAsia="ru-RU"/>
                    </w:rPr>
                    <w:t>2 041 666, 67</w:t>
                  </w:r>
                </w:p>
              </w:tc>
              <w:tc>
                <w:tcPr>
                  <w:tcW w:w="54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C15A5" w:rsidRPr="007F1D72" w:rsidRDefault="00AC15A5" w:rsidP="00AC15A5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sz w:val="24"/>
                      <w:szCs w:val="24"/>
                      <w:lang w:eastAsia="ru-RU"/>
                    </w:rPr>
                    <w:t>Российская Федерация, Республика Саха (Якутия),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72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7F1D72">
                    <w:rPr>
                      <w:sz w:val="24"/>
                      <w:szCs w:val="24"/>
                      <w:lang w:eastAsia="ru-RU"/>
                    </w:rPr>
                    <w:t xml:space="preserve"> район, с. Павловск, ул. Железнодорожников 15,</w:t>
                  </w:r>
                </w:p>
                <w:p w:rsidR="00AC15A5" w:rsidRPr="007F1D72" w:rsidRDefault="00AC15A5" w:rsidP="00AC15A5">
                  <w:pPr>
                    <w:spacing w:line="240" w:lineRule="atLeast"/>
                    <w:jc w:val="center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72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7F1D72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7F1D72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нефтебаза" </w:t>
                  </w: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АО</w:t>
                  </w:r>
                  <w:r w:rsidRPr="007F1D72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"Саханефтегазсбыт"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15372E" w:rsidRDefault="009D0D41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5372E">
              <w:rPr>
                <w:sz w:val="24"/>
                <w:szCs w:val="24"/>
                <w:lang w:eastAsia="ru-RU"/>
              </w:rPr>
              <w:t xml:space="preserve">не более </w:t>
            </w:r>
            <w:r w:rsidR="007665F8">
              <w:rPr>
                <w:sz w:val="24"/>
                <w:szCs w:val="24"/>
                <w:lang w:eastAsia="ru-RU"/>
              </w:rPr>
              <w:t>45 (сорока пяти</w:t>
            </w:r>
            <w:r w:rsidR="007665F8" w:rsidRPr="0015372E">
              <w:rPr>
                <w:sz w:val="24"/>
                <w:szCs w:val="24"/>
                <w:lang w:eastAsia="ru-RU"/>
              </w:rPr>
              <w:t xml:space="preserve">) </w:t>
            </w:r>
            <w:r w:rsidRPr="0015372E">
              <w:rPr>
                <w:sz w:val="24"/>
                <w:szCs w:val="24"/>
                <w:lang w:eastAsia="ru-RU"/>
              </w:rPr>
              <w:t>календарных дней с момента подписания договора.</w:t>
            </w:r>
          </w:p>
          <w:p w:rsidR="00620CF4" w:rsidRPr="002A688F" w:rsidRDefault="00620CF4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9D0D4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9D0D41">
              <w:rPr>
                <w:b/>
                <w:sz w:val="24"/>
                <w:szCs w:val="24"/>
              </w:rPr>
              <w:t>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Default="00AC15A5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Д</w:t>
            </w:r>
            <w:r w:rsidRPr="00AC15A5">
              <w:rPr>
                <w:iCs/>
                <w:sz w:val="24"/>
                <w:szCs w:val="24"/>
                <w:lang w:eastAsia="ru-RU"/>
              </w:rPr>
              <w:t>оставка до места поставки осуществляется силами и средствами Участника.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62F65" w:rsidRPr="00133547" w:rsidRDefault="00872173" w:rsidP="00762F65">
            <w:pPr>
              <w:rPr>
                <w:b/>
                <w:bCs/>
                <w:sz w:val="24"/>
                <w:szCs w:val="24"/>
              </w:rPr>
            </w:pPr>
            <w:r w:rsidRPr="00133547">
              <w:rPr>
                <w:b/>
                <w:bCs/>
                <w:sz w:val="24"/>
                <w:szCs w:val="24"/>
              </w:rPr>
              <w:t>ЭТП "Торги-223 https://www.torgi223.ru</w:t>
            </w:r>
          </w:p>
          <w:p w:rsidR="000905D8" w:rsidRPr="00133547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872173" w:rsidRPr="00133547" w:rsidRDefault="00872173" w:rsidP="00872173">
            <w:pPr>
              <w:rPr>
                <w:b/>
                <w:sz w:val="24"/>
                <w:szCs w:val="24"/>
              </w:rPr>
            </w:pPr>
            <w:r w:rsidRPr="00133547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133547">
              <w:t xml:space="preserve"> </w:t>
            </w:r>
            <w:r w:rsidR="00826566">
              <w:rPr>
                <w:rStyle w:val="a3"/>
                <w:b/>
                <w:color w:val="auto"/>
                <w:sz w:val="24"/>
                <w:szCs w:val="24"/>
                <w:u w:val="none"/>
              </w:rPr>
              <w:t>4865</w:t>
            </w:r>
            <w:r w:rsidRPr="00133547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133547">
              <w:rPr>
                <w:rStyle w:val="a3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133547">
              <w:rPr>
                <w:sz w:val="24"/>
                <w:szCs w:val="24"/>
              </w:rPr>
              <w:t xml:space="preserve">  </w:t>
            </w:r>
            <w:r w:rsidRPr="00133547">
              <w:rPr>
                <w:b/>
                <w:sz w:val="24"/>
                <w:szCs w:val="24"/>
              </w:rPr>
              <w:t>ЭТП</w:t>
            </w:r>
            <w:proofErr w:type="gramEnd"/>
            <w:r w:rsidRPr="00133547">
              <w:rPr>
                <w:b/>
                <w:sz w:val="24"/>
                <w:szCs w:val="24"/>
              </w:rPr>
              <w:t xml:space="preserve"> "Торги-223 https://www.torgi223.ru</w:t>
            </w:r>
          </w:p>
          <w:p w:rsidR="00AD38AD" w:rsidRPr="00133547" w:rsidRDefault="00AD38AD" w:rsidP="003B0A04">
            <w:pPr>
              <w:rPr>
                <w:rStyle w:val="a3"/>
                <w:sz w:val="24"/>
                <w:szCs w:val="24"/>
              </w:rPr>
            </w:pPr>
          </w:p>
          <w:p w:rsidR="00261405" w:rsidRPr="00133547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133547">
              <w:rPr>
                <w:b/>
                <w:sz w:val="24"/>
                <w:szCs w:val="24"/>
              </w:rPr>
              <w:t xml:space="preserve">№ </w:t>
            </w:r>
            <w:r w:rsidR="00AC15A5">
              <w:rPr>
                <w:b/>
                <w:sz w:val="24"/>
                <w:szCs w:val="24"/>
              </w:rPr>
              <w:t xml:space="preserve">114 </w:t>
            </w:r>
            <w:r w:rsidRPr="00133547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133547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13354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133547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133547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133547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872173" w:rsidRPr="00872173">
                    <w:rPr>
                      <w:bCs/>
                      <w:sz w:val="24"/>
                      <w:szCs w:val="24"/>
                    </w:rPr>
                    <w:t xml:space="preserve">ЭТП "Торги-223 </w:t>
                  </w:r>
                  <w:hyperlink r:id="rId8" w:history="1">
                    <w:r w:rsidR="00872173" w:rsidRPr="00052095">
                      <w:rPr>
                        <w:rStyle w:val="a3"/>
                        <w:bCs/>
                        <w:sz w:val="24"/>
                        <w:szCs w:val="24"/>
                      </w:rPr>
                      <w:t>https://www.torgi223.ru</w:t>
                    </w:r>
                  </w:hyperlink>
                  <w:r w:rsidR="0087217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  <w:r w:rsidR="001E0848" w:rsidRPr="001E0848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9" w:history="1">
                    <w:r w:rsidR="001E0848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45292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="001E0848">
                    <w:rPr>
                      <w:b/>
                      <w:color w:val="000000"/>
                      <w:sz w:val="24"/>
                      <w:szCs w:val="24"/>
                    </w:rPr>
                    <w:t>.11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745292" w:rsidRPr="00745292">
                    <w:rPr>
                      <w:b/>
                      <w:color w:val="000000"/>
                      <w:sz w:val="24"/>
                      <w:szCs w:val="24"/>
                    </w:rPr>
                    <w:t>29.11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872173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872173">
              <w:rPr>
                <w:bCs/>
                <w:sz w:val="24"/>
                <w:szCs w:val="24"/>
              </w:rPr>
              <w:t>ЭТП "Торги-223 https://www.torgi223.ru</w:t>
            </w:r>
            <w:r w:rsidRPr="005D1CE3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745292">
              <w:rPr>
                <w:b/>
              </w:rPr>
              <w:t>22.11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7665F8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745292">
              <w:rPr>
                <w:b/>
              </w:rPr>
              <w:t>29.11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7665F8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745292">
              <w:rPr>
                <w:b/>
              </w:rPr>
              <w:t>30.11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7665F8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745292">
              <w:rPr>
                <w:b/>
              </w:rPr>
              <w:t>01.12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5C465C">
              <w:rPr>
                <w:b/>
              </w:rPr>
              <w:t>6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D25D0"/>
    <w:rsid w:val="001E0848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5A5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9AB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C5AA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1FFA-1B4A-45FD-8FDB-67B3E1CE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10</cp:revision>
  <cp:lastPrinted>2021-11-22T08:19:00Z</cp:lastPrinted>
  <dcterms:created xsi:type="dcterms:W3CDTF">2021-09-06T03:38:00Z</dcterms:created>
  <dcterms:modified xsi:type="dcterms:W3CDTF">2021-11-23T00:43:00Z</dcterms:modified>
</cp:coreProperties>
</file>