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CB08AE" w:rsidRPr="00CB08AE" w:rsidRDefault="006D2E1E" w:rsidP="00CB08AE">
      <w:pPr>
        <w:pStyle w:val="ad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от "</w:t>
      </w:r>
      <w:r w:rsidR="00542A3A">
        <w:rPr>
          <w:rFonts w:eastAsia="Calibri"/>
          <w:i/>
          <w:sz w:val="24"/>
          <w:szCs w:val="24"/>
          <w:lang w:eastAsia="en-US"/>
        </w:rPr>
        <w:t>26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" </w:t>
      </w:r>
      <w:r w:rsidR="00542A3A">
        <w:rPr>
          <w:rFonts w:eastAsia="Calibri"/>
          <w:i/>
          <w:sz w:val="24"/>
          <w:szCs w:val="24"/>
          <w:lang w:eastAsia="en-US"/>
        </w:rPr>
        <w:t>июн</w:t>
      </w:r>
      <w:r w:rsidR="00002546">
        <w:rPr>
          <w:rFonts w:eastAsia="Calibri"/>
          <w:i/>
          <w:sz w:val="24"/>
          <w:szCs w:val="24"/>
          <w:lang w:eastAsia="en-US"/>
        </w:rPr>
        <w:t>я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202</w:t>
      </w:r>
      <w:r w:rsidR="00002546">
        <w:rPr>
          <w:rFonts w:eastAsia="Calibri"/>
          <w:i/>
          <w:sz w:val="24"/>
          <w:szCs w:val="24"/>
          <w:lang w:eastAsia="en-US"/>
        </w:rPr>
        <w:t>4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г. № Закуп - </w:t>
      </w:r>
      <w:r>
        <w:rPr>
          <w:rFonts w:eastAsia="Calibri"/>
          <w:i/>
          <w:sz w:val="24"/>
          <w:szCs w:val="24"/>
          <w:lang w:eastAsia="en-US"/>
        </w:rPr>
        <w:t>2</w:t>
      </w:r>
      <w:r w:rsidR="00542A3A">
        <w:rPr>
          <w:rFonts w:eastAsia="Calibri"/>
          <w:i/>
          <w:sz w:val="24"/>
          <w:szCs w:val="24"/>
          <w:lang w:eastAsia="en-US"/>
        </w:rPr>
        <w:t>733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="001A7DF5" w:rsidRPr="00C420D0">
        <w:rPr>
          <w:sz w:val="24"/>
          <w:szCs w:val="24"/>
          <w:shd w:val="clear" w:color="auto" w:fill="FFFFFF"/>
        </w:rPr>
        <w:t xml:space="preserve">от </w:t>
      </w:r>
      <w:r w:rsidR="00BC28C9">
        <w:rPr>
          <w:sz w:val="24"/>
          <w:szCs w:val="24"/>
          <w:shd w:val="clear" w:color="auto" w:fill="FFFFFF"/>
        </w:rPr>
        <w:t>25.04</w:t>
      </w:r>
      <w:r w:rsidR="00BC28C9" w:rsidRPr="00C420D0">
        <w:rPr>
          <w:sz w:val="24"/>
          <w:szCs w:val="24"/>
          <w:shd w:val="clear" w:color="auto" w:fill="FFFFFF"/>
        </w:rPr>
        <w:t>.202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 xml:space="preserve"> г. № 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>-2</w:t>
      </w:r>
      <w:r w:rsidR="00BC28C9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3C18BA">
        <w:rPr>
          <w:bCs/>
          <w:sz w:val="24"/>
          <w:szCs w:val="24"/>
        </w:rPr>
        <w:t>юридические</w:t>
      </w:r>
      <w:r w:rsidR="003C18BA" w:rsidRPr="003C18BA">
        <w:rPr>
          <w:bCs/>
          <w:sz w:val="24"/>
          <w:szCs w:val="24"/>
        </w:rPr>
        <w:t xml:space="preserve"> лиц</w:t>
      </w:r>
      <w:r w:rsidR="003C18BA">
        <w:rPr>
          <w:bCs/>
          <w:sz w:val="24"/>
          <w:szCs w:val="24"/>
        </w:rPr>
        <w:t>а и индивидуальные</w:t>
      </w:r>
      <w:r w:rsidR="003C18BA" w:rsidRPr="003C18BA">
        <w:rPr>
          <w:bCs/>
          <w:sz w:val="24"/>
          <w:szCs w:val="24"/>
        </w:rPr>
        <w:t xml:space="preserve"> предпринимател</w:t>
      </w:r>
      <w:r w:rsidR="003C18BA">
        <w:rPr>
          <w:bCs/>
          <w:sz w:val="24"/>
          <w:szCs w:val="24"/>
        </w:rPr>
        <w:t>и</w:t>
      </w:r>
      <w:r w:rsidR="003C18BA" w:rsidRPr="003C18BA">
        <w:rPr>
          <w:bCs/>
          <w:sz w:val="24"/>
          <w:szCs w:val="24"/>
        </w:rPr>
        <w:t xml:space="preserve"> (далее — Участники), в том числе субъекты малого и среднего предпринимательства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15602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C18BA" w:rsidRPr="00A40BCC" w:rsidRDefault="003C18BA" w:rsidP="003C18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40BCC">
              <w:rPr>
                <w:sz w:val="24"/>
                <w:szCs w:val="24"/>
              </w:rPr>
              <w:t>- по техническим вопросам Павлов Станислав Юрьевич, телефон - 79142729748, доб. 2260</w:t>
            </w:r>
          </w:p>
          <w:p w:rsidR="003C18BA" w:rsidRPr="00A40BCC" w:rsidRDefault="003C18BA" w:rsidP="003C18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40BCC">
              <w:rPr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3C18BA">
              <w:rPr>
                <w:b/>
                <w:sz w:val="24"/>
                <w:szCs w:val="24"/>
              </w:rPr>
              <w:t>, Наименование товара, НМЦД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57" w:type="dxa"/>
            <w:shd w:val="clear" w:color="auto" w:fill="auto"/>
          </w:tcPr>
          <w:p w:rsidR="003C18BA" w:rsidRPr="003C18BA" w:rsidRDefault="003C18BA" w:rsidP="003C18BA">
            <w:pPr>
              <w:pStyle w:val="ab"/>
              <w:ind w:left="-74"/>
              <w:rPr>
                <w:iCs/>
                <w:lang w:eastAsia="ru-RU"/>
              </w:rPr>
            </w:pPr>
            <w:r w:rsidRPr="003C18BA">
              <w:rPr>
                <w:iCs/>
                <w:lang w:eastAsia="ru-RU"/>
              </w:rPr>
              <w:t xml:space="preserve">Оказание услуг по перевозке груза речным транспортом для нужд АО «Саханефтегазсбыт» в 2024 году. </w:t>
            </w:r>
          </w:p>
          <w:p w:rsidR="003C18BA" w:rsidRPr="003C18BA" w:rsidRDefault="003C18BA" w:rsidP="003C18BA">
            <w:pPr>
              <w:pStyle w:val="ab"/>
              <w:ind w:left="-74"/>
              <w:rPr>
                <w:iCs/>
                <w:lang w:eastAsia="ru-RU"/>
              </w:rPr>
            </w:pPr>
            <w:r w:rsidRPr="003C18BA">
              <w:rPr>
                <w:iCs/>
                <w:lang w:eastAsia="ru-RU"/>
              </w:rPr>
              <w:t>Закупка осуществляется по следующим Лотам:</w:t>
            </w:r>
          </w:p>
          <w:p w:rsidR="00656DAF" w:rsidRPr="00B054B4" w:rsidRDefault="00656DAF" w:rsidP="00BC28C9">
            <w:pPr>
              <w:pStyle w:val="ab"/>
              <w:widowControl w:val="0"/>
              <w:autoSpaceDE w:val="0"/>
              <w:ind w:left="-74"/>
              <w:jc w:val="both"/>
            </w:pP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6A5879" w:rsidP="00844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3C18B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C18BA" w:rsidRPr="00A40BCC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объем и масса груза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3C18BA">
              <w:rPr>
                <w:b/>
                <w:sz w:val="24"/>
                <w:szCs w:val="24"/>
              </w:rPr>
              <w:t xml:space="preserve">пункты отправления и назначения, </w:t>
            </w:r>
            <w:r>
              <w:rPr>
                <w:b/>
                <w:sz w:val="24"/>
                <w:szCs w:val="24"/>
              </w:rPr>
              <w:t>НМЦД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73"/>
              <w:tblW w:w="493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4"/>
              <w:gridCol w:w="2101"/>
              <w:gridCol w:w="3257"/>
              <w:gridCol w:w="3656"/>
              <w:gridCol w:w="2488"/>
            </w:tblGrid>
            <w:tr w:rsidR="003C18BA" w:rsidRPr="003C18BA" w:rsidTr="003C18BA">
              <w:trPr>
                <w:trHeight w:val="1178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601"/>
                    </w:tabs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№ Лота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ind w:left="-69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Пункт отправления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Пункт назначения</w:t>
                  </w:r>
                </w:p>
              </w:tc>
              <w:tc>
                <w:tcPr>
                  <w:tcW w:w="1477" w:type="pct"/>
                  <w:tcBorders>
                    <w:bottom w:val="single" w:sz="4" w:space="0" w:color="auto"/>
                  </w:tcBorders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</w:pPr>
                </w:p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</w:pPr>
                </w:p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  <w:t xml:space="preserve">Наименование, объем и масса груза </w:t>
                  </w:r>
                </w:p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</w:pPr>
                </w:p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iCs/>
                      <w:szCs w:val="24"/>
                      <w:lang w:eastAsia="en-US"/>
                    </w:rPr>
                    <w:t>Сведения о начальной (максимальной) цене договора без НДС, в руб.</w:t>
                  </w:r>
                </w:p>
              </w:tc>
            </w:tr>
            <w:tr w:rsidR="003C18BA" w:rsidRPr="003C18BA" w:rsidTr="003C18BA">
              <w:trPr>
                <w:trHeight w:val="843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spacing w:before="240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Абыйский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 район, п. Белая гора</w:t>
                  </w:r>
                </w:p>
              </w:tc>
              <w:tc>
                <w:tcPr>
                  <w:tcW w:w="1477" w:type="pct"/>
                  <w:tcBorders>
                    <w:bottom w:val="single" w:sz="4" w:space="0" w:color="auto"/>
                  </w:tcBorders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szCs w:val="24"/>
                    </w:rPr>
                    <w:t>20-футовый контейнер(продукты питания и ТМЦ)  – 2 шт.</w:t>
                  </w:r>
                </w:p>
              </w:tc>
              <w:tc>
                <w:tcPr>
                  <w:tcW w:w="1005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б</w:t>
                  </w:r>
                  <w:r w:rsidRPr="003C18BA">
                    <w:rPr>
                      <w:bCs/>
                      <w:szCs w:val="24"/>
                    </w:rPr>
                    <w:t>ез НМЦД</w:t>
                  </w:r>
                </w:p>
              </w:tc>
            </w:tr>
            <w:tr w:rsidR="003C18BA" w:rsidRPr="003C18BA" w:rsidTr="003C18BA">
              <w:trPr>
                <w:trHeight w:val="701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>Республика Саха (Якутия),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Аллаиховский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 район,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п.Чокурдах</w:t>
                  </w:r>
                  <w:proofErr w:type="spellEnd"/>
                </w:p>
              </w:tc>
              <w:tc>
                <w:tcPr>
                  <w:tcW w:w="1477" w:type="pct"/>
                  <w:tcBorders>
                    <w:top w:val="single" w:sz="4" w:space="0" w:color="auto"/>
                  </w:tcBorders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 xml:space="preserve">20-футовый контейнер – 2 </w:t>
                  </w:r>
                  <w:proofErr w:type="spellStart"/>
                  <w:r w:rsidRPr="003C18BA">
                    <w:rPr>
                      <w:bCs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05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  <w:tr w:rsidR="003C18BA" w:rsidRPr="003C18BA" w:rsidTr="003C18BA">
              <w:trPr>
                <w:trHeight w:val="704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Усть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-Янский район, п.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Нижнеянск</w:t>
                  </w:r>
                  <w:proofErr w:type="spellEnd"/>
                </w:p>
              </w:tc>
              <w:tc>
                <w:tcPr>
                  <w:tcW w:w="1477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20-футовый контейнер (продукты питания и ТМЦ) – 2 шт.</w:t>
                  </w:r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</w:p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  <w:tr w:rsidR="003C18BA" w:rsidRPr="003C18BA" w:rsidTr="003C18BA">
              <w:trPr>
                <w:trHeight w:val="704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Усть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-Янский район, п.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477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 xml:space="preserve">20-футовый контейнер (продукты питания и ТМЦ) – 2 </w:t>
                  </w:r>
                  <w:proofErr w:type="spellStart"/>
                  <w:r w:rsidRPr="003C18BA">
                    <w:rPr>
                      <w:bCs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</w:p>
                <w:p w:rsidR="003C18BA" w:rsidRPr="003C18BA" w:rsidRDefault="003C18BA" w:rsidP="003C18BA">
                  <w:pPr>
                    <w:spacing w:after="36" w:line="259" w:lineRule="auto"/>
                    <w:ind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  <w:tr w:rsidR="003C18BA" w:rsidRPr="003C18BA" w:rsidTr="003C18BA">
              <w:trPr>
                <w:trHeight w:val="704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Нижнеколымский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 район, п. Черский</w:t>
                  </w:r>
                </w:p>
              </w:tc>
              <w:tc>
                <w:tcPr>
                  <w:tcW w:w="1477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 xml:space="preserve">20-футовый контейнер(продукты питания и ТМЦ)  – 2 </w:t>
                  </w:r>
                  <w:proofErr w:type="spellStart"/>
                  <w:r w:rsidRPr="003C18BA">
                    <w:rPr>
                      <w:bCs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</w:p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  <w:tr w:rsidR="003C18BA" w:rsidRPr="003C18BA" w:rsidTr="003C18BA">
              <w:trPr>
                <w:trHeight w:val="704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Среднеколымский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 район, г.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477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 xml:space="preserve">20-футовый контейнер(продукты питания и ТМЦ)  – 2 </w:t>
                  </w:r>
                  <w:proofErr w:type="spellStart"/>
                  <w:r w:rsidRPr="003C18BA">
                    <w:rPr>
                      <w:bCs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</w:p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  <w:tr w:rsidR="003C18BA" w:rsidRPr="003C18BA" w:rsidTr="003C18BA">
              <w:trPr>
                <w:trHeight w:val="704"/>
                <w:jc w:val="center"/>
              </w:trPr>
              <w:tc>
                <w:tcPr>
                  <w:tcW w:w="353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b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849" w:type="pct"/>
                  <w:vAlign w:val="center"/>
                </w:tcPr>
                <w:p w:rsidR="003C18BA" w:rsidRPr="003C18BA" w:rsidRDefault="003C18BA" w:rsidP="003C18BA">
                  <w:pPr>
                    <w:jc w:val="center"/>
                    <w:rPr>
                      <w:szCs w:val="24"/>
                    </w:rPr>
                  </w:pPr>
                  <w:r w:rsidRPr="003C18BA">
                    <w:rPr>
                      <w:szCs w:val="24"/>
                    </w:rPr>
                    <w:t>Республика Саха (Якутия) г. Якутск</w:t>
                  </w:r>
                </w:p>
              </w:tc>
              <w:tc>
                <w:tcPr>
                  <w:tcW w:w="1316" w:type="pct"/>
                  <w:vAlign w:val="center"/>
                </w:tcPr>
                <w:p w:rsidR="003C18BA" w:rsidRPr="003C18BA" w:rsidRDefault="003C18BA" w:rsidP="003C18BA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Республика Саха (Якутия), </w:t>
                  </w:r>
                  <w:proofErr w:type="spellStart"/>
                  <w:r w:rsidRPr="003C18BA">
                    <w:rPr>
                      <w:rFonts w:eastAsia="Calibri"/>
                      <w:szCs w:val="24"/>
                      <w:lang w:eastAsia="en-US"/>
                    </w:rPr>
                    <w:t>Верхнеколымский</w:t>
                  </w:r>
                  <w:proofErr w:type="spellEnd"/>
                  <w:r w:rsidRPr="003C18BA">
                    <w:rPr>
                      <w:rFonts w:eastAsia="Calibri"/>
                      <w:szCs w:val="24"/>
                      <w:lang w:eastAsia="en-US"/>
                    </w:rPr>
                    <w:t xml:space="preserve"> район, п. Зырянка</w:t>
                  </w:r>
                </w:p>
              </w:tc>
              <w:tc>
                <w:tcPr>
                  <w:tcW w:w="1477" w:type="pct"/>
                  <w:vAlign w:val="center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 xml:space="preserve">20-футовый контейнер(продукты питания и ТМЦ)  – 2 </w:t>
                  </w:r>
                  <w:proofErr w:type="spellStart"/>
                  <w:r w:rsidRPr="003C18BA">
                    <w:rPr>
                      <w:bCs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05" w:type="pct"/>
                </w:tcPr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</w:p>
                <w:p w:rsidR="003C18BA" w:rsidRPr="003C18BA" w:rsidRDefault="003C18BA" w:rsidP="003C18BA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Cs w:val="24"/>
                    </w:rPr>
                  </w:pPr>
                  <w:r w:rsidRPr="003C18BA">
                    <w:rPr>
                      <w:bCs/>
                      <w:szCs w:val="24"/>
                    </w:rPr>
                    <w:t>без НМЦД</w:t>
                  </w:r>
                </w:p>
              </w:tc>
            </w:tr>
          </w:tbl>
          <w:p w:rsidR="00065F20" w:rsidRPr="001A7DF5" w:rsidRDefault="00065F20" w:rsidP="001A7DF5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3C18BA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0BCC">
              <w:rPr>
                <w:b/>
                <w:sz w:val="24"/>
                <w:szCs w:val="24"/>
              </w:rPr>
              <w:lastRenderedPageBreak/>
              <w:t>Срок оказания услуг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3C18BA" w:rsidRDefault="003C18BA" w:rsidP="003C18BA">
            <w:pPr>
              <w:spacing w:line="240" w:lineRule="atLeast"/>
              <w:rPr>
                <w:sz w:val="24"/>
                <w:szCs w:val="24"/>
              </w:rPr>
            </w:pPr>
            <w:r w:rsidRPr="00A40BCC">
              <w:rPr>
                <w:sz w:val="24"/>
                <w:szCs w:val="24"/>
              </w:rPr>
              <w:t>до 30.09.2024 г.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BC28C9" w:rsidRPr="00762F65" w:rsidRDefault="00542A3A" w:rsidP="00BC28C9">
            <w:pPr>
              <w:rPr>
                <w:b/>
                <w:bCs/>
                <w:sz w:val="24"/>
                <w:szCs w:val="24"/>
              </w:rPr>
            </w:pPr>
            <w:r w:rsidRPr="00542A3A">
              <w:rPr>
                <w:b/>
                <w:bCs/>
                <w:sz w:val="24"/>
                <w:szCs w:val="24"/>
              </w:rPr>
              <w:t xml:space="preserve">ЭТП "Торги-223" </w:t>
            </w:r>
            <w:r w:rsidRPr="00542A3A">
              <w:rPr>
                <w:b/>
                <w:bCs/>
                <w:sz w:val="24"/>
                <w:szCs w:val="24"/>
                <w:u w:val="single"/>
              </w:rPr>
              <w:t>https://www.torgi223.ru</w:t>
            </w:r>
          </w:p>
          <w:p w:rsidR="00BC28C9" w:rsidRPr="0008787E" w:rsidRDefault="00BC28C9" w:rsidP="00BC28C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BC28C9" w:rsidRDefault="00BC28C9" w:rsidP="00BC28C9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15602B" w:rsidRPr="0015602B">
              <w:rPr>
                <w:rStyle w:val="a3"/>
                <w:b/>
                <w:color w:val="auto"/>
                <w:sz w:val="24"/>
                <w:szCs w:val="24"/>
                <w:u w:val="none"/>
              </w:rPr>
              <w:t>19878</w:t>
            </w:r>
            <w:bookmarkStart w:id="1" w:name="_GoBack"/>
            <w:bookmarkEnd w:id="1"/>
            <w:r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B141C3">
              <w:rPr>
                <w:sz w:val="24"/>
                <w:szCs w:val="24"/>
              </w:rPr>
              <w:t xml:space="preserve">на  </w:t>
            </w:r>
            <w:r w:rsidR="00542A3A" w:rsidRPr="00542A3A">
              <w:rPr>
                <w:b/>
                <w:sz w:val="24"/>
                <w:szCs w:val="24"/>
              </w:rPr>
              <w:t xml:space="preserve">ЭТП "Торги-223" </w:t>
            </w:r>
            <w:r w:rsidR="00542A3A" w:rsidRPr="00542A3A">
              <w:rPr>
                <w:b/>
                <w:sz w:val="24"/>
                <w:szCs w:val="24"/>
                <w:u w:val="single"/>
              </w:rPr>
              <w:t>https://www.torgi223.ru</w:t>
            </w:r>
          </w:p>
          <w:p w:rsidR="00BC28C9" w:rsidRPr="00B141C3" w:rsidRDefault="00BC28C9" w:rsidP="00BC28C9">
            <w:pPr>
              <w:rPr>
                <w:b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08787E">
              <w:rPr>
                <w:b/>
                <w:sz w:val="24"/>
                <w:szCs w:val="24"/>
              </w:rPr>
              <w:t xml:space="preserve">№ </w:t>
            </w:r>
            <w:r w:rsidR="00542A3A">
              <w:rPr>
                <w:b/>
                <w:sz w:val="24"/>
                <w:szCs w:val="24"/>
              </w:rPr>
              <w:t>6</w:t>
            </w:r>
            <w:r w:rsidR="003C18BA">
              <w:rPr>
                <w:b/>
                <w:sz w:val="24"/>
                <w:szCs w:val="24"/>
              </w:rPr>
              <w:t>0</w:t>
            </w:r>
            <w:r w:rsidRPr="0008787E">
              <w:rPr>
                <w:b/>
                <w:sz w:val="24"/>
                <w:szCs w:val="24"/>
              </w:rPr>
              <w:t xml:space="preserve"> </w:t>
            </w:r>
            <w:r w:rsidRPr="0008787E">
              <w:rPr>
                <w:sz w:val="24"/>
                <w:szCs w:val="24"/>
              </w:rPr>
              <w:t xml:space="preserve">на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542A3A" w:rsidRPr="00542A3A">
                    <w:rPr>
                      <w:bCs/>
                      <w:sz w:val="24"/>
                      <w:szCs w:val="24"/>
                    </w:rPr>
                    <w:t xml:space="preserve">ЭТП "Торги-223" </w:t>
                  </w:r>
                  <w:r w:rsidR="00542A3A" w:rsidRPr="00542A3A">
                    <w:rPr>
                      <w:bCs/>
                      <w:sz w:val="24"/>
                      <w:szCs w:val="24"/>
                      <w:u w:val="single"/>
                    </w:rPr>
                    <w:t>https://www.torgi223.ru</w:t>
                  </w:r>
                  <w:r w:rsidR="00AD10AB" w:rsidRPr="00AD10AB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11263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11263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639" w:rsidRPr="00112639">
                    <w:rPr>
                      <w:b/>
                      <w:color w:val="000000"/>
                      <w:sz w:val="24"/>
                      <w:szCs w:val="24"/>
                    </w:rPr>
                    <w:t>26</w:t>
                  </w:r>
                  <w:r w:rsidR="00844F8A" w:rsidRPr="00112639">
                    <w:rPr>
                      <w:b/>
                      <w:color w:val="000000"/>
                      <w:sz w:val="24"/>
                      <w:szCs w:val="24"/>
                    </w:rPr>
                    <w:t>.06.2024</w:t>
                  </w:r>
                  <w:r w:rsidR="00612B7D" w:rsidRPr="00E804A0">
                    <w:rPr>
                      <w:b/>
                    </w:rPr>
                    <w:t xml:space="preserve"> </w:t>
                  </w:r>
                  <w:r w:rsidR="00612B7D" w:rsidRPr="00E804A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112639">
                    <w:rPr>
                      <w:b/>
                      <w:color w:val="000000"/>
                      <w:sz w:val="24"/>
                      <w:szCs w:val="24"/>
                    </w:rPr>
                    <w:t>04.07</w:t>
                  </w:r>
                  <w:r w:rsidR="00844F8A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065F20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 xml:space="preserve">ачи </w:t>
            </w:r>
            <w:r>
              <w:rPr>
                <w:b/>
                <w:bCs/>
              </w:rPr>
              <w:lastRenderedPageBreak/>
              <w:t>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542A3A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542A3A">
              <w:rPr>
                <w:bCs/>
                <w:sz w:val="24"/>
                <w:szCs w:val="24"/>
              </w:rPr>
              <w:lastRenderedPageBreak/>
              <w:t xml:space="preserve">ЭТП "Торги-223" </w:t>
            </w:r>
            <w:proofErr w:type="gramStart"/>
            <w:r w:rsidRPr="00542A3A">
              <w:rPr>
                <w:bCs/>
                <w:sz w:val="24"/>
                <w:szCs w:val="24"/>
                <w:u w:val="single"/>
              </w:rPr>
              <w:t>https://www.torgi223.ru</w:t>
            </w:r>
            <w:r w:rsidR="00AD10AB" w:rsidRPr="00AD10AB">
              <w:rPr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112639">
              <w:rPr>
                <w:b/>
              </w:rPr>
              <w:t>26</w:t>
            </w:r>
            <w:r w:rsidR="00844F8A">
              <w:rPr>
                <w:b/>
              </w:rPr>
              <w:t>.06.2024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844F8A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112639">
              <w:rPr>
                <w:b/>
              </w:rPr>
              <w:t>04.07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112639">
              <w:rPr>
                <w:b/>
              </w:rPr>
              <w:t>05.07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112639">
              <w:rPr>
                <w:b/>
              </w:rPr>
              <w:t>08.07</w:t>
            </w:r>
            <w:r w:rsidR="00844F8A">
              <w:rPr>
                <w:b/>
              </w:rPr>
              <w:t>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6D2E1E">
              <w:rPr>
                <w:b/>
              </w:rPr>
              <w:t>8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2546"/>
    <w:rsid w:val="0000348F"/>
    <w:rsid w:val="00005DC2"/>
    <w:rsid w:val="00006044"/>
    <w:rsid w:val="00012EE9"/>
    <w:rsid w:val="0001336E"/>
    <w:rsid w:val="00021AB1"/>
    <w:rsid w:val="000221FC"/>
    <w:rsid w:val="00023F1E"/>
    <w:rsid w:val="0002763D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5DD3"/>
    <w:rsid w:val="001011FB"/>
    <w:rsid w:val="00102A44"/>
    <w:rsid w:val="001041E4"/>
    <w:rsid w:val="0011175C"/>
    <w:rsid w:val="00112639"/>
    <w:rsid w:val="00126D01"/>
    <w:rsid w:val="00133540"/>
    <w:rsid w:val="00133547"/>
    <w:rsid w:val="00145006"/>
    <w:rsid w:val="00152508"/>
    <w:rsid w:val="00154636"/>
    <w:rsid w:val="0015602B"/>
    <w:rsid w:val="00161BDE"/>
    <w:rsid w:val="00163985"/>
    <w:rsid w:val="00191B6C"/>
    <w:rsid w:val="001927FE"/>
    <w:rsid w:val="001A7DF5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0BA9"/>
    <w:rsid w:val="00211102"/>
    <w:rsid w:val="0021214B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CD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8BA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2A3A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493"/>
    <w:rsid w:val="005E4ACE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5879"/>
    <w:rsid w:val="006A61E3"/>
    <w:rsid w:val="006C62E4"/>
    <w:rsid w:val="006D1D0A"/>
    <w:rsid w:val="006D2CD4"/>
    <w:rsid w:val="006D2E1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42A4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44F8A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43DC0"/>
    <w:rsid w:val="00A525E1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10AB"/>
    <w:rsid w:val="00AD2D09"/>
    <w:rsid w:val="00AD38AD"/>
    <w:rsid w:val="00AD3FA0"/>
    <w:rsid w:val="00AD4713"/>
    <w:rsid w:val="00AE0B1E"/>
    <w:rsid w:val="00AE1A08"/>
    <w:rsid w:val="00AE3106"/>
    <w:rsid w:val="00AE34AD"/>
    <w:rsid w:val="00AE5A04"/>
    <w:rsid w:val="00AF10B9"/>
    <w:rsid w:val="00AF60CD"/>
    <w:rsid w:val="00AF6D0F"/>
    <w:rsid w:val="00B0347E"/>
    <w:rsid w:val="00B034C6"/>
    <w:rsid w:val="00B054B4"/>
    <w:rsid w:val="00B06878"/>
    <w:rsid w:val="00B26498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81D82"/>
    <w:rsid w:val="00B87581"/>
    <w:rsid w:val="00B92827"/>
    <w:rsid w:val="00B95597"/>
    <w:rsid w:val="00B9705C"/>
    <w:rsid w:val="00BA10C5"/>
    <w:rsid w:val="00BA2620"/>
    <w:rsid w:val="00BC28C9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5A3"/>
    <w:rsid w:val="00D05600"/>
    <w:rsid w:val="00D13269"/>
    <w:rsid w:val="00D13484"/>
    <w:rsid w:val="00D14FFB"/>
    <w:rsid w:val="00D15184"/>
    <w:rsid w:val="00D1528C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DF70B2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EF7425"/>
    <w:rsid w:val="00F01D42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7271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905F-FC3D-4E8F-887C-CD2AE0F1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2021-11-22T08:19:00Z</cp:lastPrinted>
  <dcterms:created xsi:type="dcterms:W3CDTF">2024-06-26T01:25:00Z</dcterms:created>
  <dcterms:modified xsi:type="dcterms:W3CDTF">2024-06-26T07:28:00Z</dcterms:modified>
</cp:coreProperties>
</file>