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2E263B">
        <w:rPr>
          <w:i/>
        </w:rPr>
        <w:t>2</w:t>
      </w:r>
      <w:r w:rsidR="00A44FE8">
        <w:rPr>
          <w:i/>
        </w:rPr>
        <w:t>0</w:t>
      </w:r>
      <w:r w:rsidRPr="008668ED">
        <w:rPr>
          <w:i/>
        </w:rPr>
        <w:t xml:space="preserve">" </w:t>
      </w:r>
      <w:r w:rsidR="00A44FE8">
        <w:rPr>
          <w:i/>
        </w:rPr>
        <w:t>сентябр</w:t>
      </w:r>
      <w:r w:rsidR="00E47B12">
        <w:rPr>
          <w:i/>
        </w:rPr>
        <w:t>я</w:t>
      </w:r>
      <w:r w:rsidRPr="008668ED">
        <w:rPr>
          <w:i/>
        </w:rPr>
        <w:t xml:space="preserve"> 202</w:t>
      </w:r>
      <w:r w:rsidR="00250124">
        <w:rPr>
          <w:i/>
        </w:rPr>
        <w:t>4</w:t>
      </w:r>
      <w:r w:rsidRPr="008668ED">
        <w:rPr>
          <w:i/>
        </w:rPr>
        <w:t xml:space="preserve"> г. № Закуп-</w:t>
      </w:r>
      <w:r w:rsidR="00A44FE8">
        <w:rPr>
          <w:i/>
        </w:rPr>
        <w:t>4449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2E263B" w:rsidRPr="002E263B">
        <w:rPr>
          <w:sz w:val="24"/>
          <w:szCs w:val="24"/>
        </w:rPr>
        <w:t>25.04.2024 г. № 4-24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2F2C69" w:rsidRPr="00533902" w:rsidRDefault="002F2C69" w:rsidP="002F2C69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="00A44FE8" w:rsidRPr="00A44FE8">
              <w:rPr>
                <w:bCs/>
                <w:sz w:val="24"/>
                <w:szCs w:val="24"/>
                <w:lang w:eastAsia="ru-RU"/>
              </w:rPr>
              <w:t>Сивцев Дмитрий Константинович - 89142729742 (доб. 2292)</w:t>
            </w:r>
          </w:p>
          <w:p w:rsidR="002F2C69" w:rsidRPr="00533902" w:rsidRDefault="002F2C69" w:rsidP="002F2C6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533902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2F2C69" w:rsidP="00250124">
            <w:pPr>
              <w:pStyle w:val="ab"/>
              <w:ind w:left="0"/>
              <w:rPr>
                <w:bCs/>
              </w:rPr>
            </w:pPr>
            <w:r>
              <w:rPr>
                <w:bCs/>
              </w:rPr>
              <w:t>В</w:t>
            </w:r>
            <w:r w:rsidRPr="002F2C69">
              <w:rPr>
                <w:bCs/>
              </w:rPr>
              <w:t>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        </w:r>
            <w:r w:rsidR="00250124" w:rsidRPr="00250124">
              <w:rPr>
                <w:bCs/>
              </w:rPr>
              <w:t>. Закупка проводится по Лоту №1: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5"/>
              <w:gridCol w:w="4642"/>
              <w:gridCol w:w="2918"/>
              <w:gridCol w:w="1736"/>
              <w:gridCol w:w="1736"/>
            </w:tblGrid>
            <w:tr w:rsidR="00EE30DF" w:rsidRPr="00533902" w:rsidTr="00823A01">
              <w:trPr>
                <w:cantSplit/>
                <w:trHeight w:val="1770"/>
              </w:trPr>
              <w:tc>
                <w:tcPr>
                  <w:tcW w:w="444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№ Этапа работ</w:t>
                  </w:r>
                </w:p>
              </w:tc>
              <w:tc>
                <w:tcPr>
                  <w:tcW w:w="1917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Наименование работ и основных этапов ее выполнения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Начальная максимальная цена договора</w:t>
                  </w: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без НДС, руб.</w:t>
                  </w:r>
                </w:p>
              </w:tc>
              <w:tc>
                <w:tcPr>
                  <w:tcW w:w="1434" w:type="pct"/>
                  <w:gridSpan w:val="2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Сроки выполнения работ</w:t>
                  </w:r>
                </w:p>
              </w:tc>
            </w:tr>
            <w:tr w:rsidR="00EE30DF" w:rsidRPr="00533902" w:rsidTr="00823A01">
              <w:trPr>
                <w:cantSplit/>
                <w:trHeight w:hRule="exact" w:val="1273"/>
              </w:trPr>
              <w:tc>
                <w:tcPr>
                  <w:tcW w:w="444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Стоимость работ</w:t>
                  </w:r>
                  <w:r>
                    <w:rPr>
                      <w:b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Начало работ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Окончание работ</w:t>
                  </w:r>
                </w:p>
              </w:tc>
            </w:tr>
            <w:tr w:rsidR="00EE30DF" w:rsidRPr="00533902" w:rsidTr="00823A01">
              <w:trPr>
                <w:cantSplit/>
                <w:trHeight w:hRule="exact" w:val="347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3902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EE30DF" w:rsidRPr="00533902" w:rsidTr="00823A01">
              <w:trPr>
                <w:trHeight w:val="760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Инженерные изыскания для проектирования прирельсового склада нефтепродуктов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1.1. Инженерно-геодезические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1 750 000,00</w:t>
                  </w:r>
                </w:p>
              </w:tc>
              <w:tc>
                <w:tcPr>
                  <w:tcW w:w="717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F4A8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642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1.2. Инженерно-гидрометеорологические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1.3. Инженерно-экологические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1.4. Историко-культурные исследования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1.5. Инженерно-геологические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4 900 000,00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spacing w:after="240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1.6. Инженерно-геофизические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01.03.2025</w:t>
                  </w:r>
                </w:p>
              </w:tc>
            </w:tr>
            <w:tr w:rsidR="00EE30DF" w:rsidRPr="00533902" w:rsidTr="00823A01">
              <w:trPr>
                <w:trHeight w:val="925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Инженерные изыскания для проектирования железнодорожных путей необщего пользования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2.1. Инженерно-геодезические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1 800 000,00</w:t>
                  </w:r>
                </w:p>
              </w:tc>
              <w:tc>
                <w:tcPr>
                  <w:tcW w:w="717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7F4A83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2.2. Инженерно-гидрометеорологические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2.3. Инженерно-экологические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2.4. Историко-культурные исследования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2.5. Инженерно-геологические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2 400 000,00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2.6. Инженерно-геофизические изыскания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300 000,00</w:t>
                  </w:r>
                </w:p>
              </w:tc>
              <w:tc>
                <w:tcPr>
                  <w:tcW w:w="717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01.03.2025</w:t>
                  </w:r>
                </w:p>
              </w:tc>
            </w:tr>
            <w:tr w:rsidR="00EE30DF" w:rsidRPr="00533902" w:rsidTr="00823A01">
              <w:trPr>
                <w:trHeight w:val="697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Разработка проектно-сметной документации прирельсового склада нефтепродуктов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3.1. Сбор исходных данных, получение справок и ТУ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</w:t>
                  </w:r>
                  <w:r>
                    <w:rPr>
                      <w:sz w:val="24"/>
                      <w:szCs w:val="24"/>
                    </w:rPr>
                    <w:t>02.2025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3.2. Разработка основных технических решений (стадия ОТР)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1 500 000,00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6628F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01.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125501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 xml:space="preserve">3.3. Разработка внешнего и внутреннего </w:t>
                  </w:r>
                  <w:r w:rsidRPr="00533902">
                    <w:rPr>
                      <w:sz w:val="24"/>
                      <w:szCs w:val="24"/>
                    </w:rPr>
                    <w:lastRenderedPageBreak/>
                    <w:t>дизайна объектов прирельсового склада нефтепродуктов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01.04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3.4. Разработка проектной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14 000 000,00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02.</w:t>
                  </w:r>
                  <w:r>
                    <w:rPr>
                      <w:sz w:val="24"/>
                      <w:szCs w:val="24"/>
                      <w:lang w:val="en-US"/>
                    </w:rPr>
                    <w:t>02</w:t>
                  </w:r>
                  <w:r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F6628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02</w:t>
                  </w:r>
                  <w:r w:rsidRPr="0053390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7.202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3.5. Разработка сметной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1 800 000,00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F6628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03</w:t>
                  </w:r>
                  <w:r w:rsidRPr="0053390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533902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15.08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2852"/>
              </w:trPr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3.6</w:t>
                  </w:r>
                  <w:r w:rsidRPr="00533902">
                    <w:rPr>
                      <w:sz w:val="24"/>
                      <w:szCs w:val="24"/>
                    </w:rPr>
                    <w:t xml:space="preserve">  Разработка проекта санитарно-защитной зоны (СЗЗ) прирельсового склада нефтепродуктов с получением санитарно-эпидемиологического заключения на проект СЗЗ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16.12.2024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15.07</w:t>
                  </w:r>
                  <w:r w:rsidRPr="00533902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6" w:type="pct"/>
                  <w:gridSpan w:val="4"/>
                  <w:vAlign w:val="center"/>
                </w:tcPr>
                <w:p w:rsidR="00EE30DF" w:rsidRPr="009048E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9048EF">
                    <w:rPr>
                      <w:sz w:val="24"/>
                      <w:szCs w:val="24"/>
                    </w:rPr>
                    <w:t>Разработка проектно-сметной документации железнодорожных путей необщего пользования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4.1. Сбор исходных данных, получение справок и ТУ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4.2. Разработка основных технических решений (стадия ОТР)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B3E7D">
                    <w:rPr>
                      <w:sz w:val="24"/>
                      <w:szCs w:val="24"/>
                    </w:rPr>
                    <w:t>с момента заключения договора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4.3. Разработка проектной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5 400 000,00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02.02.2025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02.07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4.4. Разработка сметной документации (стадия П)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1 500 000,00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03.02.2025</w:t>
                  </w:r>
                </w:p>
              </w:tc>
              <w:tc>
                <w:tcPr>
                  <w:tcW w:w="7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15.08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3673"/>
              </w:trPr>
              <w:tc>
                <w:tcPr>
                  <w:tcW w:w="444" w:type="pct"/>
                  <w:vMerge w:val="restar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4.5.  Оценка воздействия с определением за пределами площадки уровней создаваемого загрязнения (химического, физического и (или) биологического воздействия, превышающего санитарно-эпидемиологические требования);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B3E7D">
                    <w:rPr>
                      <w:sz w:val="24"/>
                      <w:szCs w:val="24"/>
                    </w:rPr>
                    <w:t>16.03.2025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16.07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rPr>
                <w:trHeight w:val="2648"/>
              </w:trPr>
              <w:tc>
                <w:tcPr>
                  <w:tcW w:w="444" w:type="pct"/>
                  <w:vMerge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CC788A">
                    <w:rPr>
                      <w:sz w:val="24"/>
                      <w:szCs w:val="24"/>
                    </w:rPr>
                    <w:t xml:space="preserve">4.6. Разработка проекта санитарно-защитной зоны (СЗЗ) железнодорожных путей необщего пользования с получением санитарно-эпидемиологического заключения на проект СЗЗ 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8B3E7D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B3E7D">
                    <w:rPr>
                      <w:sz w:val="24"/>
                      <w:szCs w:val="24"/>
                    </w:rPr>
                    <w:t>16.03.2025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16.07</w:t>
                  </w:r>
                  <w:r w:rsidRPr="008B3E7D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с государственной экспертизой по загрузке и сопровождению,</w:t>
                  </w:r>
                  <w:r w:rsidRPr="00533902">
                    <w:rPr>
                      <w:sz w:val="24"/>
                      <w:szCs w:val="24"/>
                    </w:rPr>
                    <w:t xml:space="preserve"> проектно-сметной документации и результатов инженерных изысканий прирельсового склада нефтепродуктов</w:t>
                  </w:r>
                  <w:r>
                    <w:rPr>
                      <w:sz w:val="24"/>
                      <w:szCs w:val="24"/>
                    </w:rPr>
                    <w:t xml:space="preserve"> (по доверенности Заказчика)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4A513A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17.08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4A513A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</w:p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с государственной экспертизой по загрузке и сопровождению,</w:t>
                  </w:r>
                  <w:r w:rsidRPr="00533902">
                    <w:rPr>
                      <w:sz w:val="24"/>
                      <w:szCs w:val="24"/>
                    </w:rPr>
                    <w:t xml:space="preserve"> проектно-сметной документации и результатов инженерных изысканий железнодорожных путей необщего пользования</w:t>
                  </w:r>
                  <w:r>
                    <w:rPr>
                      <w:sz w:val="24"/>
                      <w:szCs w:val="24"/>
                    </w:rPr>
                    <w:t xml:space="preserve"> (по доверенности Заказчика)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17.08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 xml:space="preserve">Разработка рабочей документации </w:t>
                  </w:r>
                  <w:r w:rsidRPr="00533902">
                    <w:rPr>
                      <w:sz w:val="24"/>
                      <w:szCs w:val="24"/>
                    </w:rPr>
                    <w:lastRenderedPageBreak/>
                    <w:t>прирельсового склада нефтепродуктов (стадия 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11 000 000,00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513A">
                    <w:rPr>
                      <w:sz w:val="24"/>
                      <w:szCs w:val="24"/>
                    </w:rPr>
                    <w:t>25.12.2025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Разработка рабочей документации железнодорожных путей необщего пользования (стадия Р)</w:t>
                  </w:r>
                </w:p>
              </w:tc>
              <w:tc>
                <w:tcPr>
                  <w:tcW w:w="1205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2 539 088,00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</w:t>
                  </w:r>
                  <w:r w:rsidRPr="004A513A">
                    <w:rPr>
                      <w:sz w:val="24"/>
                      <w:szCs w:val="24"/>
                    </w:rPr>
                    <w:t>.2025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513A">
                    <w:rPr>
                      <w:sz w:val="24"/>
                      <w:szCs w:val="24"/>
                    </w:rPr>
                    <w:t>25.12.2025</w:t>
                  </w:r>
                </w:p>
              </w:tc>
            </w:tr>
            <w:tr w:rsidR="00EE30DF" w:rsidRPr="00533902" w:rsidTr="00823A01">
              <w:tc>
                <w:tcPr>
                  <w:tcW w:w="444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7" w:type="pct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33902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05" w:type="pct"/>
                  <w:shd w:val="clear" w:color="auto" w:fill="auto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412DE0">
                    <w:rPr>
                      <w:b/>
                      <w:sz w:val="24"/>
                      <w:szCs w:val="24"/>
                    </w:rPr>
                    <w:t>56 239 088,00</w:t>
                  </w:r>
                </w:p>
              </w:tc>
              <w:tc>
                <w:tcPr>
                  <w:tcW w:w="717" w:type="pct"/>
                  <w:vAlign w:val="center"/>
                </w:tcPr>
                <w:p w:rsidR="00EE30DF" w:rsidRPr="00CC788A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7" w:type="pct"/>
                  <w:vAlign w:val="center"/>
                </w:tcPr>
                <w:p w:rsidR="00EE30DF" w:rsidRPr="00533902" w:rsidRDefault="00EE30DF" w:rsidP="00EE30D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81D8E" w:rsidRPr="00E81D8E" w:rsidRDefault="00E81D8E" w:rsidP="00E81D8E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81D8E">
              <w:rPr>
                <w:bCs/>
                <w:color w:val="262626"/>
                <w:sz w:val="24"/>
                <w:szCs w:val="24"/>
                <w:lang w:eastAsia="ru-RU"/>
              </w:rPr>
              <w:t>- начало работ: с момента подписания договора.</w:t>
            </w:r>
          </w:p>
          <w:p w:rsidR="00B43F94" w:rsidRPr="00E81D8E" w:rsidRDefault="00E81D8E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81D8E">
              <w:rPr>
                <w:bCs/>
                <w:color w:val="262626"/>
                <w:sz w:val="24"/>
                <w:szCs w:val="24"/>
                <w:lang w:eastAsia="ru-RU"/>
              </w:rPr>
              <w:t>- окончание работ: «25» декабря 2025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341B7A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341B7A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Нерюнгринский район, п. Беркакит. Кадастровые номера земельных участков - 14:19:210005:910, 14:19:210005:936, 14:19:210005:976, 14:19:210005:994.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D2569B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D2569B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D2569B"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>5% (пять процентов)</w:t>
            </w:r>
            <w:r w:rsidRPr="00D2569B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341B7A">
              <w:rPr>
                <w:b/>
                <w:sz w:val="24"/>
                <w:szCs w:val="24"/>
              </w:rPr>
              <w:t>85</w:t>
            </w:r>
            <w:r w:rsidR="00250124" w:rsidRPr="00282A9E">
              <w:rPr>
                <w:b/>
                <w:sz w:val="24"/>
                <w:szCs w:val="24"/>
              </w:rPr>
              <w:t xml:space="preserve"> </w:t>
            </w:r>
            <w:r w:rsidR="00125417" w:rsidRPr="00282A9E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B32365">
              <w:rPr>
                <w:b/>
                <w:bCs/>
                <w:sz w:val="24"/>
                <w:szCs w:val="24"/>
              </w:rPr>
              <w:t>№</w:t>
            </w:r>
            <w:r w:rsidR="006F23FD" w:rsidRPr="00B32365">
              <w:rPr>
                <w:b/>
                <w:bCs/>
                <w:sz w:val="24"/>
                <w:szCs w:val="24"/>
              </w:rPr>
              <w:t xml:space="preserve"> </w:t>
            </w:r>
            <w:r w:rsidR="00B32365" w:rsidRPr="00B32365">
              <w:rPr>
                <w:b/>
                <w:bCs/>
                <w:sz w:val="24"/>
                <w:szCs w:val="24"/>
              </w:rPr>
              <w:t>32414010335</w:t>
            </w:r>
            <w:r w:rsidR="00A957CF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282A9E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B32365" w:rsidRPr="00B32365">
              <w:rPr>
                <w:b/>
                <w:bCs/>
                <w:sz w:val="24"/>
                <w:szCs w:val="24"/>
              </w:rPr>
              <w:t>32414010335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>Документац</w:t>
                  </w:r>
                  <w:bookmarkStart w:id="0" w:name="_GoBack"/>
                  <w:bookmarkEnd w:id="0"/>
                  <w:r w:rsidRPr="00B054B4">
                    <w:rPr>
                      <w:sz w:val="24"/>
                      <w:szCs w:val="24"/>
                    </w:rPr>
                    <w:t xml:space="preserve">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04C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04C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41B7A">
                    <w:rPr>
                      <w:b/>
                      <w:color w:val="000000"/>
                      <w:sz w:val="24"/>
                      <w:szCs w:val="24"/>
                    </w:rPr>
                    <w:t>23.09</w:t>
                  </w:r>
                  <w:r w:rsidR="00483C30" w:rsidRPr="00D04C5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D04C5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D04C5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41B7A">
                    <w:rPr>
                      <w:b/>
                      <w:color w:val="000000"/>
                      <w:sz w:val="24"/>
                      <w:szCs w:val="24"/>
                    </w:rPr>
                    <w:t>03.10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341B7A">
              <w:rPr>
                <w:b/>
              </w:rPr>
              <w:t>23.09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26E9C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341B7A">
              <w:rPr>
                <w:b/>
              </w:rPr>
              <w:t>03.10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lastRenderedPageBreak/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341B7A">
              <w:rPr>
                <w:b/>
              </w:rPr>
              <w:t>03.10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63B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0F9B"/>
    <w:rsid w:val="00341B7A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16BE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44FE8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2365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4C59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1D8E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30DF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BF45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ADF0-FC6F-4474-8113-105FCAF6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2023-07-12T05:48:00Z</cp:lastPrinted>
  <dcterms:created xsi:type="dcterms:W3CDTF">2024-09-20T05:45:00Z</dcterms:created>
  <dcterms:modified xsi:type="dcterms:W3CDTF">2024-09-23T02:18:00Z</dcterms:modified>
</cp:coreProperties>
</file>