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CE1826">
        <w:rPr>
          <w:i/>
        </w:rPr>
        <w:t>16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CE1826">
        <w:rPr>
          <w:i/>
        </w:rPr>
        <w:t>498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F837AA" w:rsidRDefault="00F837AA" w:rsidP="00F837AA">
            <w:pPr>
              <w:pStyle w:val="ab"/>
              <w:widowControl w:val="0"/>
              <w:autoSpaceDE w:val="0"/>
              <w:ind w:left="0"/>
            </w:pPr>
            <w:r>
              <w:t xml:space="preserve">Выполнение </w:t>
            </w:r>
            <w:r w:rsidR="00CE1826" w:rsidRPr="00CE1826">
              <w:t>комплекса работ по объекту «Техническое перевооружение опасного производственного объекта «Площадка нефтебазы Хандыгская» АО «Саханефтегазсбыт»</w:t>
            </w:r>
            <w:r>
              <w:t>.</w:t>
            </w:r>
          </w:p>
          <w:p w:rsidR="0090330E" w:rsidRDefault="00F837AA" w:rsidP="00F837AA">
            <w:pPr>
              <w:pStyle w:val="ab"/>
              <w:widowControl w:val="0"/>
              <w:autoSpaceDE w:val="0"/>
              <w:ind w:left="0"/>
              <w:jc w:val="both"/>
            </w:pPr>
            <w:r>
              <w:t>Закупка проводится по Лоту №1:</w:t>
            </w:r>
          </w:p>
          <w:tbl>
            <w:tblPr>
              <w:tblW w:w="1225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970"/>
              <w:gridCol w:w="992"/>
              <w:gridCol w:w="3889"/>
              <w:gridCol w:w="2835"/>
            </w:tblGrid>
            <w:tr w:rsidR="00CE1826" w:rsidRPr="003769FB" w:rsidTr="00CE1826">
              <w:trPr>
                <w:trHeight w:val="660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Номер этапа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Описание работы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Начальная максимальная цена договора руб. без НДС</w:t>
                  </w:r>
                </w:p>
              </w:tc>
            </w:tr>
            <w:tr w:rsidR="00CE1826" w:rsidRPr="003769FB" w:rsidTr="00CE1826">
              <w:trPr>
                <w:trHeight w:val="51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Разработка проектно-сметной документации в стадии «Проектная документация» и «Рабочая документация»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Выполнить в соответствии с Заданием на проектирование (Приложение №2 к Документации)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38 245 715,00</w:t>
                  </w:r>
                </w:p>
              </w:tc>
            </w:tr>
            <w:tr w:rsidR="00CE1826" w:rsidRPr="003769FB" w:rsidTr="00CE1826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Прохождение экспертизы промышленной безопасности проектной документации с регистрацией заключения в Ростехнадзоре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Выполнить в соответствии с Заданием на проектирование (Приложение №2 к Документации)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420 000,00</w:t>
                  </w:r>
                </w:p>
              </w:tc>
            </w:tr>
            <w:tr w:rsidR="00CE1826" w:rsidRPr="003769FB" w:rsidTr="00CE1826">
              <w:trPr>
                <w:trHeight w:val="315"/>
              </w:trPr>
              <w:tc>
                <w:tcPr>
                  <w:tcW w:w="56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Прохождение и получение положительного заключения экспертизы сметной документации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Выполнить в соответствии с Заданием на проектирование (Приложение №2 к Документации)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550 000,00</w:t>
                  </w:r>
                </w:p>
              </w:tc>
            </w:tr>
            <w:tr w:rsidR="00CE1826" w:rsidRPr="003769FB" w:rsidTr="00CE1826">
              <w:trPr>
                <w:trHeight w:val="5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 xml:space="preserve">Выполнение строительно-монтажных работ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Выполнить в соответствии с разработанной «Проектной и рабочей документации» согласно 1 этапа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260 000 000,00</w:t>
                  </w:r>
                </w:p>
              </w:tc>
            </w:tr>
            <w:tr w:rsidR="00CE1826" w:rsidRPr="003769FB" w:rsidTr="00CE1826">
              <w:trPr>
                <w:trHeight w:val="5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826" w:rsidRPr="003769FB" w:rsidRDefault="00CE1826" w:rsidP="00CE1826">
                  <w:pPr>
                    <w:keepNext/>
                    <w:keepLines/>
                    <w:widowControl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769FB">
                    <w:rPr>
                      <w:sz w:val="24"/>
                      <w:szCs w:val="24"/>
                      <w:lang w:eastAsia="ru-RU"/>
                    </w:rPr>
                    <w:t>299 215 715,00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BD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Место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D44607" w:rsidRPr="00F914BB" w:rsidRDefault="00CE1826" w:rsidP="00AC272B">
            <w:pPr>
              <w:rPr>
                <w:bCs/>
                <w:iCs/>
                <w:sz w:val="24"/>
                <w:szCs w:val="24"/>
              </w:rPr>
            </w:pPr>
            <w:r w:rsidRPr="00CE1826">
              <w:rPr>
                <w:bCs/>
                <w:iCs/>
                <w:sz w:val="24"/>
                <w:szCs w:val="24"/>
              </w:rPr>
              <w:t>678720, Российская Федерация, Республика Саха (Якутия), Томпонский район, пос. Хандыга, ул. Кычкина, 46 «б».</w:t>
            </w: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BD4923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CE1826" w:rsidRPr="00CE1826" w:rsidRDefault="00CE1826" w:rsidP="00CE1826">
            <w:pPr>
              <w:rPr>
                <w:b/>
                <w:bCs/>
                <w:iCs/>
                <w:sz w:val="24"/>
                <w:szCs w:val="24"/>
              </w:rPr>
            </w:pPr>
            <w:r w:rsidRPr="00CE1826">
              <w:rPr>
                <w:bCs/>
                <w:iCs/>
                <w:sz w:val="24"/>
                <w:szCs w:val="24"/>
              </w:rPr>
              <w:t>Начало выполнения работ – с момента заключения Договора</w:t>
            </w:r>
          </w:p>
          <w:p w:rsidR="00F837AA" w:rsidRPr="00116198" w:rsidRDefault="00CE1826" w:rsidP="00CE1826">
            <w:pPr>
              <w:rPr>
                <w:bCs/>
                <w:iCs/>
                <w:sz w:val="24"/>
                <w:szCs w:val="24"/>
              </w:rPr>
            </w:pPr>
            <w:r w:rsidRPr="00CE1826">
              <w:rPr>
                <w:bCs/>
                <w:iCs/>
                <w:sz w:val="24"/>
                <w:szCs w:val="24"/>
              </w:rPr>
              <w:t>Окончание выполнения работ – до 30.11.2027 г.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CE1826" w:rsidP="00116198">
            <w:pPr>
              <w:rPr>
                <w:bCs/>
                <w:iCs/>
                <w:sz w:val="24"/>
                <w:szCs w:val="24"/>
              </w:rPr>
            </w:pPr>
            <w:r w:rsidRPr="00CE1826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CE1826">
              <w:rPr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CE1826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92B9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1918E7">
              <w:rPr>
                <w:bCs/>
                <w:sz w:val="24"/>
                <w:szCs w:val="24"/>
              </w:rPr>
              <w:t xml:space="preserve">ЭТП </w:t>
            </w:r>
            <w:r w:rsidR="00CE1826" w:rsidRPr="00CE1826">
              <w:rPr>
                <w:bCs/>
                <w:sz w:val="24"/>
                <w:szCs w:val="24"/>
              </w:rPr>
              <w:t xml:space="preserve">ГПБ </w:t>
            </w:r>
            <w:hyperlink r:id="rId9" w:history="1">
              <w:r w:rsidR="00CE1826" w:rsidRPr="00CE1826">
                <w:rPr>
                  <w:rStyle w:val="a3"/>
                  <w:bCs/>
                  <w:sz w:val="24"/>
                  <w:szCs w:val="24"/>
                </w:rPr>
                <w:t>https://etpgpb.ru/</w:t>
              </w:r>
            </w:hyperlink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 w:rsidR="00C16AEA">
              <w:rPr>
                <w:b/>
                <w:sz w:val="24"/>
                <w:szCs w:val="24"/>
              </w:rPr>
              <w:t>74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10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1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Default="00116198" w:rsidP="00116198">
            <w:pPr>
              <w:rPr>
                <w:b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017757">
              <w:rPr>
                <w:b/>
                <w:bCs/>
                <w:sz w:val="24"/>
                <w:szCs w:val="24"/>
              </w:rPr>
              <w:t xml:space="preserve">№ </w:t>
            </w:r>
            <w:r w:rsidR="008A21A0" w:rsidRPr="008A21A0">
              <w:rPr>
                <w:b/>
                <w:bCs/>
                <w:sz w:val="24"/>
                <w:szCs w:val="24"/>
              </w:rPr>
              <w:t>32616128354</w:t>
            </w: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на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="00CE1826" w:rsidRPr="00CE1826">
              <w:rPr>
                <w:b/>
                <w:bCs/>
                <w:sz w:val="24"/>
                <w:szCs w:val="24"/>
              </w:rPr>
              <w:t xml:space="preserve">ГПБ </w:t>
            </w:r>
            <w:hyperlink r:id="rId12" w:history="1">
              <w:r w:rsidR="00CE1826" w:rsidRPr="00CE1826">
                <w:rPr>
                  <w:rStyle w:val="a3"/>
                  <w:b/>
                  <w:bCs/>
                  <w:sz w:val="24"/>
                  <w:szCs w:val="24"/>
                </w:rPr>
                <w:t>https://etpgpb.ru/</w:t>
              </w:r>
            </w:hyperlink>
            <w:bookmarkStart w:id="0" w:name="_GoBack"/>
            <w:bookmarkEnd w:id="0"/>
          </w:p>
          <w:p w:rsidR="00CE1826" w:rsidRPr="00447448" w:rsidRDefault="00CE1826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8A21A0" w:rsidRPr="008A21A0">
              <w:rPr>
                <w:b/>
                <w:bCs/>
                <w:sz w:val="24"/>
                <w:szCs w:val="24"/>
              </w:rPr>
              <w:t>32616128354</w:t>
            </w:r>
            <w:r w:rsidRPr="007D2831">
              <w:rPr>
                <w:b/>
                <w:bCs/>
                <w:sz w:val="24"/>
                <w:szCs w:val="24"/>
              </w:rPr>
              <w:t xml:space="preserve"> в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3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lastRenderedPageBreak/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="00CE1826" w:rsidRPr="00CE1826">
                    <w:rPr>
                      <w:bCs/>
                      <w:sz w:val="24"/>
                      <w:szCs w:val="24"/>
                    </w:rPr>
                    <w:t xml:space="preserve">ГПБ </w:t>
                  </w:r>
                  <w:hyperlink r:id="rId14" w:history="1">
                    <w:r w:rsidR="00CE1826" w:rsidRPr="00CE1826">
                      <w:rPr>
                        <w:rStyle w:val="a3"/>
                        <w:bCs/>
                        <w:sz w:val="24"/>
                        <w:szCs w:val="24"/>
                      </w:rPr>
                      <w:t>https://etpgpb.ru/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5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6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C16AEA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C16AEA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16AEA" w:rsidRPr="00C16AEA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CB482A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F837AA" w:rsidRPr="00C16AEA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 w:rsidRPr="00C16AEA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C16AEA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CB482A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C16AEA">
                    <w:rPr>
                      <w:b/>
                      <w:color w:val="000000"/>
                      <w:sz w:val="24"/>
                      <w:szCs w:val="24"/>
                    </w:rPr>
                    <w:t>.07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 подачи Заявок, дата начала подачи, дата и время окончания 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="00CE1826" w:rsidRPr="00CE1826">
              <w:rPr>
                <w:bCs/>
                <w:iCs/>
                <w:snapToGrid w:val="0"/>
                <w:sz w:val="24"/>
                <w:szCs w:val="24"/>
              </w:rPr>
              <w:t xml:space="preserve">ГПБ </w:t>
            </w:r>
            <w:hyperlink r:id="rId17" w:history="1">
              <w:r w:rsidR="00CE1826" w:rsidRPr="00CE1826">
                <w:rPr>
                  <w:rStyle w:val="a3"/>
                  <w:bCs/>
                  <w:iCs/>
                  <w:snapToGrid w:val="0"/>
                  <w:sz w:val="24"/>
                  <w:szCs w:val="24"/>
                </w:rPr>
                <w:t>https://etpgpb.ru/</w:t>
              </w:r>
            </w:hyperlink>
            <w:r w:rsidR="00CE1826">
              <w:rPr>
                <w:bCs/>
                <w:iCs/>
                <w:snapToGrid w:val="0"/>
                <w:sz w:val="24"/>
                <w:szCs w:val="24"/>
              </w:rPr>
              <w:t xml:space="preserve"> 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t xml:space="preserve">Дата начала подачи Заявок: </w:t>
            </w:r>
            <w:r w:rsidR="00C16AEA">
              <w:rPr>
                <w:b/>
              </w:rPr>
              <w:t>с 1</w:t>
            </w:r>
            <w:r w:rsidR="00CB482A">
              <w:rPr>
                <w:b/>
              </w:rPr>
              <w:t>9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CB482A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C16AEA">
              <w:rPr>
                <w:b/>
              </w:rPr>
              <w:t>0</w:t>
            </w:r>
            <w:r w:rsidR="00CB482A">
              <w:rPr>
                <w:b/>
              </w:rPr>
              <w:t>2</w:t>
            </w:r>
            <w:r w:rsidR="00C16AEA">
              <w:rPr>
                <w:b/>
              </w:rPr>
              <w:t>.07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C16AEA">
              <w:rPr>
                <w:b/>
              </w:rPr>
              <w:t>0</w:t>
            </w:r>
            <w:r w:rsidR="00CB482A">
              <w:rPr>
                <w:b/>
              </w:rPr>
              <w:t>2</w:t>
            </w:r>
            <w:r w:rsidR="00C16AEA">
              <w:rPr>
                <w:b/>
              </w:rPr>
              <w:t>.07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1A0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16AEA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82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1826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477F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pgpb.ru/" TargetMode="External"/><Relationship Id="rId17" Type="http://schemas.openxmlformats.org/officeDocument/2006/relationships/hyperlink" Target="https://etpgp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osng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s://aosng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tpgpb.ru/" TargetMode="External"/><Relationship Id="rId14" Type="http://schemas.openxmlformats.org/officeDocument/2006/relationships/hyperlink" Target="https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24F2-451C-4FE7-A663-4A3543E8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2024-12-28T00:41:00Z</cp:lastPrinted>
  <dcterms:created xsi:type="dcterms:W3CDTF">2026-06-17T00:29:00Z</dcterms:created>
  <dcterms:modified xsi:type="dcterms:W3CDTF">2026-06-19T00:54:00Z</dcterms:modified>
</cp:coreProperties>
</file>